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常州市政府采购项目</w:t>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公开招标文件</w:t>
      </w:r>
      <w:r/>
    </w:p>
    <w:p>
      <w:pPr>
        <w:jc w:val="left"/>
        <w:tabs>
          <w:tab w:val="left" w:pos="7670" w:leader="none"/>
        </w:tabs>
        <w:rPr>
          <w:rFonts w:hint="eastAsia" w:ascii="宋体" w:hAnsi="宋体" w:eastAsia="宋体" w:cs="宋体"/>
          <w:b/>
          <w:bCs/>
          <w:sz w:val="60"/>
          <w:szCs w:val="60"/>
          <w:highlight w:val="none"/>
          <w:lang w:eastAsia="zh-CN"/>
        </w:rPr>
      </w:pPr>
      <w:r>
        <w:rPr>
          <w:rFonts w:hint="eastAsia" w:ascii="宋体" w:hAnsi="宋体" w:eastAsia="宋体" w:cs="宋体"/>
          <w:b/>
          <w:bCs/>
          <w:sz w:val="60"/>
          <w:szCs w:val="60"/>
          <w:highlight w:val="none"/>
          <w:lang w:eastAsia="zh-CN"/>
        </w:rPr>
        <w:tab/>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项目名称：</w:t>
      </w:r>
      <w:r>
        <w:rPr>
          <w:rFonts w:hint="eastAsia" w:ascii="宋体" w:hAnsi="宋体" w:eastAsia="宋体" w:cs="宋体"/>
          <w:bCs/>
          <w:sz w:val="36"/>
          <w:szCs w:val="36"/>
          <w:highlight w:val="none"/>
          <w:lang w:val="en-US" w:eastAsia="zh-CN"/>
        </w:rPr>
        <w:t xml:space="preserve">2025-2027</w:t>
      </w:r>
      <w:r>
        <w:rPr>
          <w:rFonts w:hint="eastAsia" w:ascii="宋体" w:hAnsi="宋体" w:eastAsia="宋体" w:cs="宋体"/>
          <w:bCs/>
          <w:sz w:val="36"/>
          <w:szCs w:val="36"/>
          <w:highlight w:val="none"/>
        </w:rPr>
        <w:t xml:space="preserve">年度</w:t>
      </w:r>
      <w:r>
        <w:rPr>
          <w:rFonts w:hint="eastAsia" w:ascii="宋体" w:hAnsi="宋体" w:eastAsia="宋体" w:cs="宋体"/>
          <w:bCs/>
          <w:sz w:val="36"/>
          <w:szCs w:val="36"/>
          <w:highlight w:val="none"/>
          <w:lang w:eastAsia="zh-CN"/>
        </w:rPr>
        <w:t xml:space="preserve">常州市第三人民医院</w:t>
      </w:r>
      <w:r>
        <w:rPr>
          <w:rFonts w:hint="eastAsia" w:ascii="宋体" w:hAnsi="宋体" w:eastAsia="宋体" w:cs="宋体"/>
          <w:bCs/>
          <w:sz w:val="36"/>
          <w:szCs w:val="36"/>
          <w:highlight w:val="none"/>
        </w:rPr>
        <w:t xml:space="preserve">医疗责任险</w:t>
      </w:r>
      <w:r>
        <w:rPr>
          <w:rFonts w:hint="eastAsia" w:ascii="宋体" w:hAnsi="宋体" w:eastAsia="宋体" w:cs="宋体"/>
          <w:bCs/>
          <w:sz w:val="36"/>
          <w:szCs w:val="36"/>
          <w:highlight w:val="none"/>
          <w:lang w:eastAsia="zh-CN"/>
        </w:rPr>
        <w:t xml:space="preserve">、</w:t>
      </w:r>
      <w:r>
        <w:rPr>
          <w:rFonts w:hint="eastAsia" w:ascii="宋体" w:hAnsi="宋体" w:eastAsia="宋体" w:cs="宋体"/>
          <w:bCs/>
          <w:sz w:val="36"/>
          <w:szCs w:val="36"/>
          <w:highlight w:val="none"/>
        </w:rPr>
        <w:t xml:space="preserve">财产险项目  </w:t>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项目编号：</w:t>
      </w:r>
      <w:r>
        <w:rPr>
          <w:rFonts w:hint="eastAsia" w:ascii="宋体" w:hAnsi="宋体" w:eastAsia="宋体" w:cs="宋体"/>
          <w:bCs/>
          <w:sz w:val="36"/>
          <w:szCs w:val="36"/>
          <w:highlight w:val="none"/>
          <w:lang w:val="en-US" w:eastAsia="zh-CN"/>
        </w:rPr>
        <w:tab/>
        <w:t xml:space="preserve">JSZC-320400-CXBX-G2025-0001</w:t>
      </w:r>
      <w:r>
        <w:rPr>
          <w:rFonts w:hint="eastAsia" w:ascii="宋体" w:hAnsi="宋体" w:eastAsia="宋体" w:cs="宋体"/>
          <w:bCs/>
          <w:sz w:val="36"/>
          <w:szCs w:val="36"/>
          <w:highlight w:val="none"/>
          <w:lang w:val="en-US" w:eastAsia="zh-CN"/>
        </w:rPr>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采 购 人：</w:t>
      </w:r>
      <w:r>
        <w:rPr>
          <w:rFonts w:hint="eastAsia" w:ascii="宋体" w:hAnsi="宋体" w:eastAsia="宋体" w:cs="宋体"/>
          <w:bCs/>
          <w:sz w:val="36"/>
          <w:szCs w:val="36"/>
          <w:highlight w:val="none"/>
          <w:lang w:eastAsia="zh-CN"/>
        </w:rPr>
        <w:t xml:space="preserve">常州市第三人民医院</w:t>
      </w:r>
      <w:r/>
    </w:p>
    <w:p>
      <w:pPr>
        <w:ind w:left="2833" w:hanging="1901"/>
        <w:jc w:val="left"/>
        <w:spacing w:line="360" w:lineRule="auto"/>
        <w:tabs>
          <w:tab w:val="left" w:pos="3240" w:leader="none"/>
          <w:tab w:val="left" w:pos="3420" w:leader="none"/>
        </w:tabs>
        <w:rPr>
          <w:rFonts w:hint="eastAsia" w:ascii="宋体" w:hAnsi="宋体" w:eastAsia="宋体" w:cs="宋体"/>
          <w:b/>
          <w:sz w:val="72"/>
          <w:highlight w:val="none"/>
          <w:lang w:val="en-US" w:eastAsia="zh-CN"/>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eastAsia="宋体" w:cs="宋体"/>
          <w:bCs/>
          <w:sz w:val="36"/>
          <w:szCs w:val="36"/>
          <w:highlight w:val="none"/>
        </w:rPr>
        <w:t xml:space="preserve">采购代理机构：</w:t>
      </w:r>
      <w:r>
        <w:rPr>
          <w:rFonts w:hint="eastAsia" w:ascii="宋体" w:hAnsi="宋体" w:eastAsia="宋体" w:cs="宋体"/>
          <w:bCs/>
          <w:sz w:val="36"/>
          <w:szCs w:val="36"/>
          <w:highlight w:val="none"/>
          <w:lang w:val="en-US" w:eastAsia="zh-CN"/>
        </w:rPr>
        <w:t xml:space="preserve">江苏常信保险经纪有限公司</w:t>
      </w:r>
      <w:r/>
    </w:p>
    <w:p>
      <w:pPr>
        <w:jc w:val="center"/>
        <w:spacing w:line="360" w:lineRule="auto"/>
        <w:rPr>
          <w:rFonts w:hint="eastAsia" w:ascii="宋体" w:hAnsi="宋体" w:eastAsia="宋体" w:cs="宋体"/>
          <w:b/>
          <w:sz w:val="36"/>
          <w:szCs w:val="36"/>
          <w:highlight w:val="none"/>
        </w:rPr>
        <w:outlineLvl w:val="0"/>
      </w:pPr>
      <w:r/>
      <w:bookmarkStart w:id="0" w:name="_Toc99301418"/>
      <w:r/>
      <w:r/>
    </w:p>
    <w:p>
      <w:pPr>
        <w:jc w:val="center"/>
        <w:spacing w:line="360" w:lineRule="auto"/>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t xml:space="preserve">目      录</w:t>
      </w:r>
      <w:bookmarkEnd w:id="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TOC \o "1-1" \h \z \u </w:instrText>
      </w:r>
      <w:r>
        <w:rPr>
          <w:rFonts w:hint="eastAsia" w:ascii="宋体" w:hAnsi="宋体" w:eastAsia="宋体" w:cs="宋体"/>
          <w:b w:val="0"/>
          <w:sz w:val="32"/>
          <w:szCs w:val="32"/>
          <w:highlight w:val="none"/>
        </w:rPr>
        <w:fldChar w:fldCharType="separate"/>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"_Toc99301419"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第一章   投标邀请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_Toc99301419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"_Toc99301420"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第二章   投标人须知</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7</w:t>
      </w:r>
      <w:r>
        <w:rPr>
          <w:rFonts w:hint="eastAsia" w:ascii="宋体" w:hAnsi="宋体" w:eastAsia="宋体" w:cs="宋体"/>
          <w:sz w:val="32"/>
          <w:szCs w:val="32"/>
          <w:highlight w:val="none"/>
        </w:rPr>
        <w:fldChar w:fldCharType="end"/>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"_Toc99301421"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第三章   资</w:t>
      </w:r>
      <w:bookmarkStart w:id="1" w:name="_Hlt100754117"/>
      <w:r>
        <w:rPr>
          <w:rStyle w:val="1112"/>
          <w:rFonts w:hint="eastAsia" w:ascii="宋体" w:hAnsi="宋体" w:eastAsia="宋体" w:cs="宋体"/>
          <w:color w:val="000000"/>
          <w:sz w:val="32"/>
          <w:szCs w:val="32"/>
          <w:highlight w:val="none"/>
        </w:rPr>
        <w:t xml:space="preserve">格</w:t>
      </w:r>
      <w:bookmarkEnd w:id="1"/>
      <w:r>
        <w:rPr>
          <w:rStyle w:val="1112"/>
          <w:rFonts w:hint="eastAsia" w:ascii="宋体" w:hAnsi="宋体" w:eastAsia="宋体" w:cs="宋体"/>
          <w:color w:val="000000"/>
          <w:sz w:val="32"/>
          <w:szCs w:val="32"/>
          <w:highlight w:val="none"/>
        </w:rPr>
        <w:t xml:space="preserve">审查</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2</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2</w:t>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"_Toc99301423"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_Toc99301423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w:t>
      </w:r>
      <w:r>
        <w:rPr>
          <w:rFonts w:hint="eastAsia" w:cs="宋体"/>
          <w:sz w:val="32"/>
          <w:szCs w:val="32"/>
          <w:highlight w:val="none"/>
          <w:lang w:val="en-US" w:eastAsia="zh-CN"/>
        </w:rPr>
        <w:t xml:space="preserve">4</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"_Toc99301424"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第五章   采购</w:t>
      </w:r>
      <w:bookmarkStart w:id="2" w:name="_Hlt100754102"/>
      <w:r/>
      <w:bookmarkStart w:id="3" w:name="_Hlt100754103"/>
      <w:r>
        <w:rPr>
          <w:rStyle w:val="1112"/>
          <w:rFonts w:hint="eastAsia" w:ascii="宋体" w:hAnsi="宋体" w:eastAsia="宋体" w:cs="宋体"/>
          <w:color w:val="000000"/>
          <w:sz w:val="32"/>
          <w:szCs w:val="32"/>
          <w:highlight w:val="none"/>
        </w:rPr>
        <w:t xml:space="preserve">需</w:t>
      </w:r>
      <w:bookmarkEnd w:id="2"/>
      <w:r/>
      <w:bookmarkEnd w:id="3"/>
      <w:r>
        <w:rPr>
          <w:rStyle w:val="1112"/>
          <w:rFonts w:hint="eastAsia" w:ascii="宋体" w:hAnsi="宋体" w:eastAsia="宋体" w:cs="宋体"/>
          <w:color w:val="000000"/>
          <w:sz w:val="32"/>
          <w:szCs w:val="32"/>
          <w:highlight w:val="none"/>
        </w:rPr>
        <w:t xml:space="preserve">求</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3</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5</w:t>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"_Toc99301425"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5</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4</w:t>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"_Toc99301426"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第七章   投标文件格式</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5</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9</w:t>
      </w:r>
      <w:r/>
    </w:p>
    <w:p>
      <w:pPr>
        <w:pStyle w:val="1090"/>
        <w:spacing w:line="720" w:lineRule="auto"/>
        <w:rPr>
          <w:rFonts w:hint="eastAsia" w:ascii="宋体" w:hAnsi="宋体" w:eastAsia="宋体" w:cs="宋体"/>
          <w:b w:val="0"/>
          <w:highlight w:val="none"/>
        </w:rPr>
      </w:pPr>
      <w:r>
        <w:rPr>
          <w:rFonts w:hint="eastAsia" w:ascii="宋体" w:hAnsi="宋体" w:eastAsia="宋体" w:cs="宋体"/>
          <w:b w:val="0"/>
          <w:sz w:val="32"/>
          <w:szCs w:val="32"/>
          <w:highlight w:val="none"/>
        </w:rPr>
        <w:fldChar w:fldCharType="end"/>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sz w:val="24"/>
          <w:highlight w:val="none"/>
        </w:rPr>
        <w:br w:type="page" w:clear="all"/>
      </w:r>
      <w:bookmarkStart w:id="4" w:name="_Toc99301419"/>
      <w:r>
        <w:rPr>
          <w:rFonts w:hint="eastAsia" w:ascii="宋体" w:hAnsi="宋体" w:eastAsia="宋体" w:cs="宋体"/>
          <w:b/>
          <w:sz w:val="36"/>
          <w:szCs w:val="36"/>
          <w:highlight w:val="none"/>
        </w:rPr>
        <w:t xml:space="preserve">第一章   投标邀请</w:t>
      </w:r>
      <w:bookmarkEnd w:id="4"/>
      <w:r/>
      <w:r/>
    </w:p>
    <w:p>
      <w:pPr>
        <w:ind w:firstLine="64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64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年度</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医疗责任险、财产险项目的潜在投标人应在</w:t>
      </w:r>
      <w:r>
        <w:rPr>
          <w:rFonts w:hint="eastAsia" w:ascii="宋体" w:hAnsi="宋体" w:eastAsia="宋体" w:cs="宋体"/>
          <w:sz w:val="24"/>
          <w:szCs w:val="24"/>
          <w:highlight w:val="none"/>
          <w:lang w:bidi="ar"/>
        </w:rPr>
        <w:t xml:space="preserve">“苏采云”政府采购一体化平台</w:t>
      </w:r>
      <w:r>
        <w:rPr>
          <w:rFonts w:hint="eastAsia" w:ascii="宋体" w:hAnsi="宋体" w:eastAsia="宋体" w:cs="宋体"/>
          <w:sz w:val="24"/>
          <w:szCs w:val="24"/>
          <w:highlight w:val="none"/>
          <w:lang w:val="en-US" w:eastAsia="zh-CN" w:bidi="ar"/>
        </w:rPr>
        <w:t xml:space="preserve">自行免费下载</w:t>
      </w:r>
      <w:r>
        <w:rPr>
          <w:rFonts w:hint="eastAsia" w:ascii="宋体" w:hAnsi="宋体" w:eastAsia="宋体" w:cs="宋体"/>
          <w:sz w:val="24"/>
          <w:szCs w:val="24"/>
          <w:highlight w:val="none"/>
        </w:rPr>
        <w:t xml:space="preserve">获取招标文件，并于</w:t>
      </w:r>
      <w:r>
        <w:rPr>
          <w:rFonts w:hint="eastAsia" w:ascii="宋体" w:hAnsi="宋体" w:eastAsia="宋体" w:cs="宋体"/>
          <w:b/>
          <w:bCs/>
          <w:sz w:val="24"/>
          <w:szCs w:val="24"/>
          <w:highlight w:val="yellow"/>
        </w:rPr>
        <w:t xml:space="preserve">202</w:t>
      </w:r>
      <w:r>
        <w:rPr>
          <w:rFonts w:hint="eastAsia" w:ascii="宋体" w:hAnsi="宋体" w:eastAsia="宋体" w:cs="宋体"/>
          <w:b/>
          <w:bCs/>
          <w:sz w:val="24"/>
          <w:szCs w:val="24"/>
          <w:highlight w:val="yellow"/>
          <w:lang w:val="en-US" w:eastAsia="zh-CN"/>
        </w:rPr>
        <w:t xml:space="preserve">6</w:t>
      </w:r>
      <w:r>
        <w:rPr>
          <w:rFonts w:hint="eastAsia" w:ascii="宋体" w:hAnsi="宋体" w:eastAsia="宋体" w:cs="宋体"/>
          <w:b/>
          <w:bCs/>
          <w:sz w:val="24"/>
          <w:szCs w:val="24"/>
          <w:highlight w:val="yellow"/>
        </w:rPr>
        <w:t xml:space="preserve">-0</w:t>
      </w:r>
      <w:r>
        <w:rPr>
          <w:rFonts w:hint="eastAsia" w:ascii="宋体" w:hAnsi="宋体" w:eastAsia="宋体" w:cs="宋体"/>
          <w:b/>
          <w:bCs/>
          <w:sz w:val="24"/>
          <w:szCs w:val="24"/>
          <w:highlight w:val="yellow"/>
          <w:lang w:val="en-US" w:eastAsia="zh-CN"/>
        </w:rPr>
        <w:t xml:space="preserve">1</w:t>
      </w:r>
      <w:r>
        <w:rPr>
          <w:rFonts w:hint="eastAsia" w:ascii="宋体" w:hAnsi="宋体" w:eastAsia="宋体" w:cs="宋体"/>
          <w:b/>
          <w:bCs/>
          <w:sz w:val="24"/>
          <w:szCs w:val="24"/>
          <w:highlight w:val="yellow"/>
        </w:rPr>
        <w:t xml:space="preserve">-</w:t>
      </w:r>
      <w:r>
        <w:rPr>
          <w:rFonts w:hint="eastAsia" w:ascii="宋体" w:hAnsi="宋体" w:cs="宋体"/>
          <w:b/>
          <w:bCs/>
          <w:sz w:val="24"/>
          <w:szCs w:val="24"/>
          <w:highlight w:val="yellow"/>
          <w:lang w:val="en-US" w:eastAsia="zh-CN"/>
        </w:rPr>
        <w:t xml:space="preserve">05</w:t>
      </w: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00</w:t>
      </w:r>
      <w:r>
        <w:rPr>
          <w:rFonts w:hint="eastAsia" w:ascii="宋体" w:hAnsi="宋体" w:eastAsia="宋体" w:cs="宋体"/>
          <w:b/>
          <w:bCs/>
          <w:sz w:val="24"/>
          <w:szCs w:val="24"/>
          <w:highlight w:val="none"/>
        </w:rPr>
        <w:t xml:space="preserve">（北京时间）</w:t>
      </w:r>
      <w:r>
        <w:rPr>
          <w:rFonts w:hint="eastAsia" w:ascii="宋体" w:hAnsi="宋体" w:eastAsia="宋体" w:cs="宋体"/>
          <w:bCs/>
          <w:sz w:val="24"/>
          <w:szCs w:val="24"/>
          <w:highlight w:val="none"/>
        </w:rPr>
        <w:t xml:space="preserve">前递交投标文件</w:t>
      </w:r>
      <w:r>
        <w:rPr>
          <w:rFonts w:hint="eastAsia" w:ascii="宋体" w:hAnsi="宋体" w:eastAsia="宋体" w:cs="宋体"/>
          <w:sz w:val="24"/>
          <w:szCs w:val="24"/>
          <w:highlight w:val="none"/>
        </w:rPr>
        <w:t xml:space="preserve">。</w:t>
      </w:r>
      <w:r/>
    </w:p>
    <w:p>
      <w:pPr>
        <w:pStyle w:val="1039"/>
        <w:ind w:firstLine="643"/>
        <w:jc w:val="left"/>
        <w:spacing w:before="240" w:line="360" w:lineRule="auto"/>
        <w:rPr>
          <w:rFonts w:hint="eastAsia" w:ascii="宋体" w:hAnsi="宋体" w:eastAsia="宋体" w:cs="宋体"/>
          <w:sz w:val="24"/>
          <w:szCs w:val="24"/>
          <w:highlight w:val="none"/>
        </w:rPr>
      </w:pPr>
      <w:r/>
      <w:bookmarkStart w:id="5" w:name="_Toc35393790"/>
      <w:r/>
      <w:bookmarkStart w:id="6" w:name="_Toc28359002"/>
      <w:r/>
      <w:bookmarkStart w:id="7" w:name="_Toc35393621"/>
      <w:r/>
      <w:bookmarkStart w:id="8" w:name="_Toc28359079"/>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val="en-US" w:eastAsia="zh-CN"/>
        </w:rPr>
        <w:t xml:space="preserve">JSZC-320400-CXBX-G2025-0001</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项目名称：202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年度</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医疗责任险、财产险项目</w:t>
      </w:r>
      <w:bookmarkEnd w:id="9"/>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预算金额：人民币</w:t>
      </w:r>
      <w:r>
        <w:rPr>
          <w:rFonts w:hint="eastAsia" w:ascii="宋体" w:hAnsi="宋体" w:eastAsia="宋体" w:cs="宋体"/>
          <w:sz w:val="24"/>
          <w:szCs w:val="24"/>
          <w:highlight w:val="none"/>
          <w:lang w:val="en-US" w:eastAsia="zh-CN"/>
        </w:rPr>
        <w:t xml:space="preserve">175.50万元（87.75万元/年）</w:t>
      </w:r>
      <w:r/>
    </w:p>
    <w:p>
      <w:pPr>
        <w:ind w:firstLine="64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最高限价：人民币</w:t>
      </w:r>
      <w:r>
        <w:rPr>
          <w:rFonts w:hint="eastAsia" w:ascii="宋体" w:hAnsi="宋体" w:eastAsia="宋体" w:cs="宋体"/>
          <w:sz w:val="24"/>
          <w:szCs w:val="24"/>
          <w:highlight w:val="none"/>
          <w:lang w:val="en-US" w:eastAsia="zh-CN"/>
        </w:rPr>
        <w:t xml:space="preserve">175.50万元（87.75万元/年）</w:t>
      </w:r>
      <w:r/>
    </w:p>
    <w:p>
      <w:pPr>
        <w:numPr>
          <w:ilvl w:val="0"/>
          <w:numId w:val="0"/>
        </w:num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采购需求：</w:t>
      </w:r>
      <w:r>
        <w:rPr>
          <w:rFonts w:hint="eastAsia" w:ascii="宋体" w:hAnsi="宋体" w:eastAsia="宋体" w:cs="宋体"/>
          <w:bCs/>
          <w:sz w:val="24"/>
          <w:szCs w:val="24"/>
          <w:highlight w:val="none"/>
        </w:rPr>
        <w:t xml:space="preserve">为构建和谐医患关系，创建“平安医院”，进一步建立完善医疗风险分担机制和医疗纠纷一体化处理模式，</w:t>
      </w:r>
      <w:r>
        <w:rPr>
          <w:rFonts w:hint="eastAsia" w:ascii="宋体" w:hAnsi="宋体" w:eastAsia="宋体" w:cs="宋体"/>
          <w:bCs/>
          <w:sz w:val="24"/>
          <w:szCs w:val="24"/>
          <w:highlight w:val="none"/>
          <w:lang w:val="en-US" w:eastAsia="zh-CN"/>
        </w:rPr>
        <w:t xml:space="preserve">本项目</w:t>
      </w:r>
      <w:r>
        <w:rPr>
          <w:rFonts w:hint="eastAsia" w:ascii="宋体" w:hAnsi="宋体" w:eastAsia="宋体" w:cs="宋体"/>
          <w:bCs/>
          <w:sz w:val="24"/>
          <w:szCs w:val="24"/>
          <w:highlight w:val="none"/>
        </w:rPr>
        <w:t xml:space="preserve">对</w:t>
      </w:r>
      <w:r>
        <w:rPr>
          <w:rFonts w:hint="eastAsia" w:ascii="宋体" w:hAnsi="宋体" w:eastAsia="宋体" w:cs="宋体"/>
          <w:bCs/>
          <w:sz w:val="24"/>
          <w:szCs w:val="24"/>
          <w:highlight w:val="none"/>
          <w:lang w:val="en-US" w:eastAsia="zh-CN"/>
        </w:rPr>
        <w:t xml:space="preserve">2025-2027年度常州市第三人民医院医疗责任保</w:t>
      </w:r>
      <w:r>
        <w:rPr>
          <w:rFonts w:hint="eastAsia" w:ascii="宋体" w:hAnsi="宋体" w:eastAsia="宋体" w:cs="宋体"/>
          <w:bCs/>
          <w:sz w:val="24"/>
          <w:szCs w:val="24"/>
          <w:highlight w:val="none"/>
        </w:rPr>
        <w:t xml:space="preserve">险</w:t>
      </w:r>
      <w:r>
        <w:rPr>
          <w:rFonts w:hint="eastAsia" w:ascii="宋体" w:hAnsi="宋体" w:eastAsia="宋体" w:cs="宋体"/>
          <w:bCs/>
          <w:sz w:val="24"/>
          <w:szCs w:val="24"/>
          <w:highlight w:val="none"/>
          <w:lang w:eastAsia="zh-CN"/>
        </w:rPr>
        <w:t xml:space="preserve">（附加医疗机构场所责任险、附加医务人员遭受伤害责任保险）</w:t>
      </w:r>
      <w:r>
        <w:rPr>
          <w:rFonts w:hint="eastAsia" w:ascii="宋体" w:hAnsi="宋体" w:eastAsia="宋体" w:cs="宋体"/>
          <w:bCs/>
          <w:sz w:val="24"/>
          <w:szCs w:val="24"/>
          <w:highlight w:val="none"/>
        </w:rPr>
        <w:t xml:space="preserve">、财产险</w:t>
      </w:r>
      <w:r>
        <w:rPr>
          <w:rFonts w:hint="eastAsia" w:ascii="宋体" w:hAnsi="宋体" w:eastAsia="宋体" w:cs="宋体"/>
          <w:bCs/>
          <w:sz w:val="24"/>
          <w:szCs w:val="24"/>
          <w:highlight w:val="none"/>
          <w:lang w:eastAsia="zh-CN"/>
        </w:rPr>
        <w:t xml:space="preserve">（包括财产综合险、机器设备损坏险）</w:t>
      </w:r>
      <w:r>
        <w:rPr>
          <w:rFonts w:hint="eastAsia" w:ascii="宋体" w:hAnsi="宋体" w:eastAsia="宋体" w:cs="宋体"/>
          <w:bCs/>
          <w:sz w:val="24"/>
          <w:szCs w:val="24"/>
          <w:highlight w:val="none"/>
        </w:rPr>
        <w:t xml:space="preserve">项目进行</w:t>
      </w:r>
      <w:r>
        <w:rPr>
          <w:rFonts w:hint="eastAsia" w:ascii="宋体" w:hAnsi="宋体" w:eastAsia="宋体" w:cs="宋体"/>
          <w:bCs/>
          <w:sz w:val="24"/>
          <w:szCs w:val="24"/>
          <w:highlight w:val="none"/>
          <w:lang w:val="en-US" w:eastAsia="zh-CN"/>
        </w:rPr>
        <w:t xml:space="preserve">公开招标</w:t>
      </w:r>
      <w:r>
        <w:rPr>
          <w:rFonts w:hint="eastAsia" w:ascii="宋体" w:hAnsi="宋体" w:eastAsia="宋体" w:cs="宋体"/>
          <w:bCs/>
          <w:sz w:val="24"/>
          <w:szCs w:val="24"/>
          <w:highlight w:val="none"/>
        </w:rPr>
        <w:t xml:space="preserve">。</w:t>
      </w:r>
      <w:r/>
    </w:p>
    <w:p>
      <w:pPr>
        <w:numPr>
          <w:ilvl w:val="0"/>
          <w:numId w:val="0"/>
        </w:num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本项目由采购人委托的第三方保险经纪公司制定详细实施方案并经采购人确认后负责具体实施。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val="en-US" w:eastAsia="zh-CN"/>
        </w:rPr>
        <w:t xml:space="preserve">两</w:t>
      </w:r>
      <w:r>
        <w:rPr>
          <w:rFonts w:hint="eastAsia" w:ascii="宋体" w:hAnsi="宋体" w:eastAsia="宋体" w:cs="宋体"/>
          <w:sz w:val="24"/>
          <w:szCs w:val="24"/>
          <w:highlight w:val="none"/>
        </w:rPr>
        <w:t xml:space="preserve">年。</w:t>
      </w:r>
      <w:r/>
    </w:p>
    <w:p>
      <w:pPr>
        <w:ind w:firstLine="64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合同期限为：2025年04月23日零时起—</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年04月22日二十四时止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按年度出单。</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6.本项目是否接受联合体投标：□是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val="en-US" w:eastAsia="zh-CN"/>
        </w:rPr>
        <w:t xml:space="preserve">否。</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7.本项目是否接受进口产品投标：□是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val="en-US" w:eastAsia="zh-CN"/>
        </w:rPr>
        <w:t xml:space="preserve">否。</w:t>
      </w:r>
      <w:r/>
    </w:p>
    <w:p>
      <w:pPr>
        <w:pStyle w:val="1039"/>
        <w:ind w:firstLine="643"/>
        <w:jc w:val="left"/>
        <w:spacing w:before="0" w:line="360" w:lineRule="auto"/>
        <w:rPr>
          <w:rFonts w:hint="eastAsia" w:ascii="宋体" w:hAnsi="宋体" w:eastAsia="宋体" w:cs="宋体"/>
          <w:sz w:val="24"/>
          <w:szCs w:val="24"/>
          <w:highlight w:val="none"/>
        </w:rPr>
      </w:pPr>
      <w:r/>
      <w:bookmarkStart w:id="10" w:name="_Toc35393622"/>
      <w:r/>
      <w:bookmarkStart w:id="11" w:name="_Toc28359080"/>
      <w:r/>
      <w:bookmarkStart w:id="12" w:name="_Toc35393791"/>
      <w:r/>
      <w:bookmarkStart w:id="13" w:name="_Toc28359003"/>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bookmarkStart w:id="14" w:name="_Toc28359081"/>
      <w:r/>
      <w:bookmarkStart w:id="15" w:name="_Toc28359004"/>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1.中小企业政策</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   /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 </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3.其他特定资格要求：</w:t>
      </w:r>
      <w:bookmarkEnd w:id="14"/>
      <w:r/>
      <w:bookmarkEnd w:id="15"/>
      <w:r/>
      <w:r/>
    </w:p>
    <w:p>
      <w:pPr>
        <w:ind w:firstLine="482"/>
        <w:spacing w:line="360" w:lineRule="auto"/>
        <w:tabs>
          <w:tab w:val="left" w:pos="900" w:leader="none"/>
          <w:tab w:val="left" w:pos="1134" w:leader="none"/>
          <w:tab w:val="left" w:pos="1589" w:leader="none"/>
          <w:tab w:val="left" w:pos="5521" w:leader="none"/>
        </w:tabs>
        <w:rPr>
          <w:rFonts w:hint="eastAsia" w:ascii="宋体" w:hAnsi="宋体" w:eastAsia="宋体" w:cs="宋体"/>
          <w:b w:val="0"/>
          <w:bCs/>
          <w:sz w:val="24"/>
          <w:szCs w:val="24"/>
          <w:highlight w:val="none"/>
        </w:rPr>
      </w:pPr>
      <w:r/>
      <w:bookmarkStart w:id="16" w:name="_Toc35393623"/>
      <w:r/>
      <w:bookmarkStart w:id="17" w:name="_Toc35393792"/>
      <w:r>
        <w:rPr>
          <w:rFonts w:hint="eastAsia" w:ascii="宋体" w:hAnsi="宋体" w:eastAsia="宋体" w:cs="宋体"/>
          <w:b w:val="0"/>
          <w:bCs w:val="0"/>
          <w:color w:val="auto"/>
          <w:sz w:val="24"/>
          <w:szCs w:val="24"/>
          <w:highlight w:val="none"/>
        </w:rPr>
        <w:t xml:space="preserve">经国家金融监督管理总局（原中国银行保险监督管理委员会）批准的具有承保资质的财产保险公司。</w:t>
      </w:r>
      <w:r/>
    </w:p>
    <w:p>
      <w:pPr>
        <w:pStyle w:val="1039"/>
        <w:ind w:firstLine="643"/>
        <w:jc w:val="left"/>
        <w:spacing w:before="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16"/>
      <w:r/>
      <w:bookmarkEnd w:id="1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时间：</w:t>
      </w:r>
      <w:r>
        <w:rPr>
          <w:rFonts w:hint="eastAsia" w:ascii="宋体" w:hAnsi="宋体" w:eastAsia="宋体" w:cs="宋体"/>
          <w:color w:val="auto"/>
          <w:sz w:val="24"/>
          <w:szCs w:val="24"/>
          <w:highlight w:val="none"/>
          <w:lang w:val="en-US" w:eastAsia="zh-CN" w:bidi="ar"/>
        </w:rPr>
        <w:t xml:space="preserve">2025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bidi="ar"/>
        </w:rPr>
        <w:t xml:space="preserve">至</w:t>
      </w:r>
      <w:r>
        <w:rPr>
          <w:rFonts w:hint="eastAsia" w:ascii="宋体" w:hAnsi="宋体" w:eastAsia="宋体" w:cs="宋体"/>
          <w:color w:val="auto"/>
          <w:sz w:val="24"/>
          <w:szCs w:val="24"/>
          <w:highlight w:val="yellow"/>
          <w:lang w:val="en-US" w:eastAsia="zh-CN" w:bidi="ar"/>
        </w:rPr>
        <w:t xml:space="preserve">2025</w:t>
      </w:r>
      <w:r>
        <w:rPr>
          <w:rFonts w:hint="eastAsia" w:ascii="宋体" w:hAnsi="宋体" w:eastAsia="宋体" w:cs="宋体"/>
          <w:color w:val="auto"/>
          <w:sz w:val="24"/>
          <w:szCs w:val="24"/>
          <w:highlight w:val="yellow"/>
        </w:rPr>
        <w:t xml:space="preserve">年</w:t>
      </w:r>
      <w:r>
        <w:rPr>
          <w:rFonts w:hint="eastAsia" w:ascii="宋体" w:hAnsi="宋体" w:cs="宋体"/>
          <w:color w:val="auto"/>
          <w:sz w:val="24"/>
          <w:szCs w:val="24"/>
          <w:highlight w:val="yellow"/>
          <w:lang w:val="en-US" w:eastAsia="zh-CN"/>
        </w:rPr>
        <w:t xml:space="preserve">12</w:t>
      </w:r>
      <w:r>
        <w:rPr>
          <w:rFonts w:hint="eastAsia" w:ascii="宋体" w:hAnsi="宋体" w:eastAsia="宋体" w:cs="宋体"/>
          <w:color w:val="auto"/>
          <w:sz w:val="24"/>
          <w:szCs w:val="24"/>
          <w:highlight w:val="yellow"/>
        </w:rPr>
        <w:t xml:space="preserve">月</w:t>
      </w:r>
      <w:r>
        <w:rPr>
          <w:rFonts w:hint="eastAsia" w:ascii="宋体" w:hAnsi="宋体" w:cs="宋体"/>
          <w:color w:val="auto"/>
          <w:sz w:val="24"/>
          <w:szCs w:val="24"/>
          <w:highlight w:val="yellow"/>
          <w:lang w:val="en-US" w:eastAsia="zh-CN"/>
        </w:rPr>
        <w:t xml:space="preserve">22</w:t>
      </w:r>
      <w:r>
        <w:rPr>
          <w:rFonts w:hint="eastAsia" w:ascii="宋体" w:hAnsi="宋体" w:eastAsia="宋体" w:cs="宋体"/>
          <w:color w:val="auto"/>
          <w:sz w:val="24"/>
          <w:szCs w:val="24"/>
          <w:highlight w:val="yellow"/>
        </w:rPr>
        <w:t xml:space="preserve">日</w:t>
      </w:r>
      <w:r>
        <w:rPr>
          <w:rFonts w:hint="eastAsia" w:ascii="宋体" w:hAnsi="宋体" w:eastAsia="宋体" w:cs="宋体"/>
          <w:color w:val="auto"/>
          <w:sz w:val="24"/>
          <w:szCs w:val="24"/>
          <w:highlight w:val="none"/>
          <w:lang w:bidi="ar"/>
        </w:rPr>
        <w:t xml:space="preserve">（北京时间）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方式：“苏采云”政府采购一体化平台自行免费下载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售价：0.00元</w:t>
      </w:r>
      <w:r/>
    </w:p>
    <w:p>
      <w:pPr>
        <w:pStyle w:val="1039"/>
        <w:ind w:firstLine="643"/>
        <w:jc w:val="left"/>
        <w:spacing w:before="0" w:line="360" w:lineRule="auto"/>
        <w:widowControl/>
        <w:rPr>
          <w:rFonts w:hint="eastAsia" w:ascii="宋体" w:hAnsi="宋体" w:eastAsia="宋体" w:cs="宋体"/>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sz w:val="24"/>
          <w:szCs w:val="24"/>
          <w:highlight w:val="none"/>
        </w:rPr>
        <w:t xml:space="preserve">四、提交投标文件</w:t>
      </w:r>
      <w:bookmarkEnd w:id="18"/>
      <w:r/>
      <w:bookmarkEnd w:id="19"/>
      <w:r>
        <w:rPr>
          <w:rFonts w:hint="eastAsia" w:ascii="宋体" w:hAnsi="宋体" w:eastAsia="宋体" w:cs="宋体"/>
          <w:sz w:val="24"/>
          <w:szCs w:val="24"/>
          <w:highlight w:val="none"/>
        </w:rPr>
        <w:t xml:space="preserve">截止时间、开标时间和地点</w:t>
      </w:r>
      <w:bookmarkEnd w:id="20"/>
      <w:r/>
      <w:bookmarkEnd w:id="21"/>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投标截止时间、开标时间：</w:t>
      </w:r>
      <w:r>
        <w:rPr>
          <w:rFonts w:hint="eastAsia" w:ascii="宋体" w:hAnsi="宋体" w:eastAsia="宋体" w:cs="宋体"/>
          <w:b/>
          <w:bCs/>
          <w:color w:val="auto"/>
          <w:sz w:val="24"/>
          <w:szCs w:val="24"/>
          <w:highlight w:val="yellow"/>
          <w:lang w:val="en-US" w:eastAsia="zh-CN"/>
        </w:rPr>
        <w:t xml:space="preserve">2026</w:t>
      </w:r>
      <w:r>
        <w:rPr>
          <w:rFonts w:hint="eastAsia" w:ascii="宋体" w:hAnsi="宋体" w:eastAsia="宋体" w:cs="宋体"/>
          <w:b/>
          <w:bCs/>
          <w:color w:val="auto"/>
          <w:sz w:val="24"/>
          <w:szCs w:val="24"/>
          <w:highlight w:val="yellow"/>
        </w:rPr>
        <w:t xml:space="preserve">年</w:t>
      </w:r>
      <w:r>
        <w:rPr>
          <w:rFonts w:hint="eastAsia" w:ascii="宋体" w:hAnsi="宋体" w:cs="宋体"/>
          <w:b/>
          <w:bCs/>
          <w:color w:val="auto"/>
          <w:sz w:val="24"/>
          <w:szCs w:val="24"/>
          <w:highlight w:val="yellow"/>
          <w:lang w:val="en-US" w:eastAsia="zh-CN"/>
        </w:rPr>
        <w:t xml:space="preserve">01</w:t>
      </w:r>
      <w:r>
        <w:rPr>
          <w:rFonts w:hint="eastAsia" w:ascii="宋体" w:hAnsi="宋体" w:eastAsia="宋体" w:cs="宋体"/>
          <w:b/>
          <w:bCs/>
          <w:color w:val="auto"/>
          <w:sz w:val="24"/>
          <w:szCs w:val="24"/>
          <w:highlight w:val="yellow"/>
        </w:rPr>
        <w:t xml:space="preserve">月</w:t>
      </w:r>
      <w:r>
        <w:rPr>
          <w:rFonts w:hint="eastAsia" w:ascii="宋体" w:hAnsi="宋体" w:eastAsia="宋体" w:cs="宋体"/>
          <w:b/>
          <w:bCs/>
          <w:color w:val="auto"/>
          <w:sz w:val="24"/>
          <w:szCs w:val="24"/>
          <w:highlight w:val="yellow"/>
        </w:rPr>
        <w:t xml:space="preserve">05日</w:t>
      </w:r>
      <w:r>
        <w:rPr>
          <w:rFonts w:hint="eastAsia" w:ascii="宋体" w:hAnsi="宋体" w:cs="宋体"/>
          <w:b/>
          <w:bCs/>
          <w:color w:val="auto"/>
          <w:sz w:val="24"/>
          <w:szCs w:val="24"/>
          <w:highlight w:val="yellow"/>
          <w:lang w:val="en-US" w:eastAsia="zh-CN"/>
        </w:rPr>
        <w:t xml:space="preserve"> 14</w:t>
      </w:r>
      <w:r>
        <w:rPr>
          <w:rFonts w:hint="eastAsia" w:ascii="宋体" w:hAnsi="宋体" w:eastAsia="宋体" w:cs="宋体"/>
          <w:b/>
          <w:bCs/>
          <w:color w:val="auto"/>
          <w:sz w:val="24"/>
          <w:szCs w:val="24"/>
          <w:highlight w:val="yellow"/>
        </w:rPr>
        <w:t xml:space="preserve">点</w:t>
      </w:r>
      <w:r>
        <w:rPr>
          <w:rFonts w:hint="eastAsia" w:ascii="宋体" w:hAnsi="宋体" w:eastAsia="宋体" w:cs="宋体"/>
          <w:b/>
          <w:bCs/>
          <w:color w:val="auto"/>
          <w:sz w:val="24"/>
          <w:szCs w:val="24"/>
          <w:highlight w:val="yellow"/>
          <w:lang w:val="en-US" w:eastAsia="zh-CN"/>
        </w:rPr>
        <w:t xml:space="preserve">00</w:t>
      </w:r>
      <w:r>
        <w:rPr>
          <w:rFonts w:hint="eastAsia" w:ascii="宋体" w:hAnsi="宋体" w:eastAsia="宋体" w:cs="宋体"/>
          <w:b/>
          <w:bCs/>
          <w:color w:val="auto"/>
          <w:sz w:val="24"/>
          <w:szCs w:val="24"/>
          <w:highlight w:val="yellow"/>
        </w:rPr>
        <w:t xml:space="preserve">分</w:t>
      </w:r>
      <w:r>
        <w:rPr>
          <w:rFonts w:hint="eastAsia" w:ascii="宋体" w:hAnsi="宋体" w:eastAsia="宋体" w:cs="宋体"/>
          <w:b/>
          <w:bCs/>
          <w:color w:val="auto"/>
          <w:sz w:val="24"/>
          <w:szCs w:val="24"/>
          <w:highlight w:val="none"/>
        </w:rPr>
        <w:t xml:space="preserve">（北京时间）</w:t>
      </w:r>
      <w:r>
        <w:rPr>
          <w:rFonts w:hint="eastAsia" w:ascii="宋体" w:hAnsi="宋体" w:eastAsia="宋体" w:cs="宋体"/>
          <w:iCs/>
          <w:sz w:val="24"/>
          <w:szCs w:val="24"/>
          <w:highlight w:val="none"/>
          <w:lang w:bidi="ar"/>
        </w:rPr>
        <w:t xml:space="preserve">。</w:t>
      </w:r>
      <w:r/>
    </w:p>
    <w:p>
      <w:pPr>
        <w:ind w:firstLine="6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bidi="ar"/>
        </w:rPr>
        <w:t xml:space="preserve">地点：</w:t>
      </w:r>
      <w:r>
        <w:rPr>
          <w:rFonts w:hint="eastAsia" w:ascii="宋体" w:hAnsi="宋体" w:eastAsia="宋体" w:cs="宋体"/>
          <w:b/>
          <w:sz w:val="24"/>
          <w:szCs w:val="24"/>
          <w:highlight w:val="none"/>
        </w:rPr>
        <w:t xml:space="preserve">“苏采云”政府采购一体化平台 。</w:t>
      </w:r>
      <w:r/>
    </w:p>
    <w:p>
      <w:pPr>
        <w:pStyle w:val="1039"/>
        <w:ind w:firstLine="643"/>
        <w:jc w:val="left"/>
        <w:spacing w:before="0" w:line="360" w:lineRule="auto"/>
        <w:rPr>
          <w:rFonts w:hint="eastAsia" w:ascii="宋体" w:hAnsi="宋体" w:eastAsia="宋体" w:cs="宋体"/>
          <w:sz w:val="24"/>
          <w:szCs w:val="24"/>
          <w:highlight w:val="none"/>
        </w:rPr>
      </w:pPr>
      <w:r/>
      <w:bookmarkStart w:id="22" w:name="_Toc28359007"/>
      <w:r/>
      <w:bookmarkStart w:id="23" w:name="_Toc35393794"/>
      <w:r/>
      <w:bookmarkStart w:id="24" w:name="_Toc35393625"/>
      <w:r/>
      <w:bookmarkStart w:id="25" w:name="_Toc28359084"/>
      <w:r>
        <w:rPr>
          <w:rFonts w:hint="eastAsia" w:ascii="宋体" w:hAnsi="宋体" w:eastAsia="宋体" w:cs="宋体"/>
          <w:sz w:val="24"/>
          <w:szCs w:val="24"/>
          <w:highlight w:val="none"/>
        </w:rPr>
        <w:t xml:space="preserve">五、公告期限</w:t>
      </w:r>
      <w:bookmarkEnd w:id="22"/>
      <w:r/>
      <w:bookmarkEnd w:id="23"/>
      <w:r/>
      <w:bookmarkEnd w:id="24"/>
      <w:r/>
      <w:bookmarkEnd w:id="25"/>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1039"/>
        <w:ind w:firstLine="643"/>
        <w:jc w:val="left"/>
        <w:spacing w:before="0" w:line="360" w:lineRule="auto"/>
        <w:rPr>
          <w:rFonts w:hint="eastAsia" w:ascii="宋体" w:hAnsi="宋体" w:eastAsia="宋体" w:cs="宋体"/>
          <w:sz w:val="24"/>
          <w:szCs w:val="24"/>
          <w:highlight w:val="none"/>
        </w:rPr>
      </w:pPr>
      <w:r/>
      <w:bookmarkStart w:id="26" w:name="_Toc35393626"/>
      <w:r/>
      <w:bookmarkStart w:id="27" w:name="_Toc35393795"/>
      <w:r>
        <w:rPr>
          <w:rFonts w:hint="eastAsia" w:ascii="宋体" w:hAnsi="宋体" w:eastAsia="宋体" w:cs="宋体"/>
          <w:sz w:val="24"/>
          <w:szCs w:val="24"/>
          <w:highlight w:val="none"/>
        </w:rPr>
        <w:t xml:space="preserve">六、其他补充事宜</w:t>
      </w:r>
      <w:bookmarkEnd w:id="26"/>
      <w:r/>
      <w:bookmarkEnd w:id="2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1.本项目需要落实的政府采购政策：</w:t>
      </w:r>
      <w:r>
        <w:rPr>
          <w:rFonts w:hint="eastAsia" w:ascii="宋体" w:hAnsi="宋体" w:eastAsia="宋体" w:cs="宋体"/>
          <w:sz w:val="24"/>
          <w:szCs w:val="24"/>
          <w:highlight w:val="none"/>
          <w:u w:val="single"/>
          <w:lang w:bidi="ar"/>
        </w:rPr>
        <w:t xml:space="preserve">/</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rPr>
        <w:t xml:space="preserve"> </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.根据省财政厅《关于更</w:t>
      </w:r>
      <w:r>
        <w:rPr>
          <w:rFonts w:hint="eastAsia" w:ascii="宋体" w:hAnsi="宋体" w:eastAsia="宋体" w:cs="宋体"/>
          <w:sz w:val="24"/>
          <w:szCs w:val="24"/>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.关于常州市中小企业政府采购信用融资：</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39"/>
        <w:ind w:firstLine="643"/>
        <w:jc w:val="left"/>
        <w:spacing w:before="0" w:line="360" w:lineRule="auto"/>
        <w:rPr>
          <w:rFonts w:hint="eastAsia" w:ascii="宋体" w:hAnsi="宋体" w:eastAsia="宋体" w:cs="宋体"/>
          <w:sz w:val="24"/>
          <w:szCs w:val="24"/>
          <w:highlight w:val="none"/>
        </w:rPr>
      </w:pPr>
      <w:r/>
      <w:bookmarkStart w:id="28" w:name="_Toc35393627"/>
      <w:r/>
      <w:bookmarkStart w:id="29" w:name="_Toc35393796"/>
      <w:r/>
      <w:bookmarkStart w:id="30" w:name="_Toc28359085"/>
      <w:r/>
      <w:bookmarkStart w:id="31" w:name="_Toc28359008"/>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2" w:name="_Toc28359086"/>
      <w:r/>
      <w:bookmarkStart w:id="33" w:name="_Toc28359009"/>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 </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址：常州市兰陵北路300号 </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联系人：闵科</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联系方式：0519-82009031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2"/>
      <w:r/>
      <w:bookmarkEnd w:id="33"/>
      <w:r/>
      <w:r/>
    </w:p>
    <w:p>
      <w:pPr>
        <w:ind w:left="-2" w:firstLine="643"/>
        <w:spacing w:line="360" w:lineRule="auto"/>
        <w:rPr>
          <w:rFonts w:hint="eastAsia" w:ascii="宋体" w:hAnsi="宋体" w:eastAsia="宋体" w:cs="宋体"/>
          <w:sz w:val="24"/>
          <w:szCs w:val="24"/>
          <w:highlight w:val="none"/>
        </w:rPr>
      </w:pPr>
      <w:r/>
      <w:bookmarkStart w:id="34" w:name="_Toc28359010"/>
      <w:r/>
      <w:bookmarkStart w:id="35" w:name="_Toc28359087"/>
      <w:r>
        <w:rPr>
          <w:rFonts w:hint="eastAsia" w:ascii="宋体" w:hAnsi="宋体" w:eastAsia="宋体" w:cs="宋体"/>
          <w:sz w:val="24"/>
          <w:szCs w:val="24"/>
          <w:highlight w:val="none"/>
        </w:rPr>
        <w:t xml:space="preserve">名    称：江苏常信保险经纪有限公司</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址：常州市局前街285号嘉乐广场A座710</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联系人：陈女士</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联系方式：0519-88126007  </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4"/>
      <w:r/>
      <w:bookmarkEnd w:id="35"/>
      <w:r/>
      <w:r/>
    </w:p>
    <w:p>
      <w:pPr>
        <w:pStyle w:val="1076"/>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项目联系人：陈女士 </w:t>
      </w:r>
      <w:r/>
    </w:p>
    <w:p>
      <w:pPr>
        <w:pStyle w:val="1076"/>
        <w:ind w:firstLine="480"/>
        <w:spacing w:line="360" w:lineRule="auto"/>
        <w:rPr>
          <w:rFonts w:hint="eastAsia" w:ascii="宋体" w:hAnsi="宋体" w:eastAsia="宋体" w:cs="宋体"/>
          <w:sz w:val="32"/>
          <w:szCs w:val="32"/>
          <w:highlight w:val="none"/>
        </w:rPr>
      </w:pPr>
      <w:r>
        <w:rPr>
          <w:rFonts w:hint="eastAsia" w:ascii="宋体" w:hAnsi="宋体" w:eastAsia="宋体" w:cs="宋体"/>
          <w:sz w:val="24"/>
          <w:szCs w:val="24"/>
          <w:highlight w:val="none"/>
        </w:rPr>
        <w:t xml:space="preserve">电      话：0519-88126007  </w:t>
      </w:r>
      <w:r/>
    </w:p>
    <w:p>
      <w:pPr>
        <w:pStyle w:val="1076"/>
        <w:ind w:left="-2" w:firstLine="64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p>
    <w:p>
      <w:pPr>
        <w:pStyle w:val="1076"/>
        <w:ind w:left="-2" w:firstLine="64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sz w:val="24"/>
          <w:highlight w:val="none"/>
        </w:rPr>
        <w:br w:type="page" w:clear="all"/>
      </w:r>
      <w:bookmarkStart w:id="36" w:name="_Toc195842950"/>
      <w:r/>
      <w:bookmarkStart w:id="37" w:name="_Toc226965856"/>
      <w:r/>
      <w:bookmarkStart w:id="38" w:name="_Toc353873938"/>
      <w:r/>
      <w:bookmarkStart w:id="39" w:name="_Toc127161488"/>
      <w:r/>
      <w:bookmarkStart w:id="40" w:name="_Toc305158854"/>
      <w:r/>
      <w:bookmarkStart w:id="41" w:name="_Toc305158928"/>
      <w:r/>
      <w:bookmarkStart w:id="42" w:name="_Toc127151777"/>
      <w:r/>
      <w:bookmarkStart w:id="43" w:name="_Toc150774783"/>
      <w:r/>
      <w:bookmarkStart w:id="44" w:name="_Toc512937850"/>
      <w:r/>
      <w:bookmarkStart w:id="45" w:name="_Toc264969275"/>
      <w:r/>
      <w:bookmarkStart w:id="46" w:name="_Toc353825548"/>
      <w:r/>
      <w:bookmarkStart w:id="47" w:name="_Toc265228423"/>
      <w:r/>
      <w:bookmarkStart w:id="48" w:name="_Toc99301420"/>
      <w:r>
        <w:rPr>
          <w:rFonts w:hint="eastAsia" w:ascii="宋体" w:hAnsi="宋体" w:eastAsia="宋体" w:cs="宋体"/>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39"/>
        <w:spacing w:before="0" w:line="360" w:lineRule="auto"/>
        <w:tabs>
          <w:tab w:val="center" w:pos="4592" w:leader="none"/>
          <w:tab w:val="left" w:pos="7860" w:leader="none"/>
        </w:tabs>
        <w:rPr>
          <w:rFonts w:hint="eastAsia" w:ascii="宋体" w:hAnsi="宋体" w:eastAsia="宋体" w:cs="宋体"/>
          <w:b/>
          <w:sz w:val="28"/>
          <w:szCs w:val="28"/>
          <w:highlight w:val="none"/>
        </w:rPr>
      </w:pPr>
      <w:r/>
      <w:bookmarkStart w:id="49" w:name="_Toc520356144"/>
      <w:r/>
      <w:bookmarkStart w:id="50" w:name="_Toc164608788"/>
      <w:r/>
      <w:bookmarkStart w:id="51" w:name="_Toc164351613"/>
      <w:r/>
      <w:bookmarkStart w:id="52" w:name="_Toc150774724"/>
      <w:r/>
      <w:bookmarkStart w:id="53" w:name="_Toc150480757"/>
      <w:r/>
      <w:bookmarkStart w:id="54" w:name="_Toc151193761"/>
      <w:r/>
      <w:bookmarkStart w:id="55" w:name="_Toc151193689"/>
      <w:r/>
      <w:bookmarkStart w:id="56" w:name="_Toc127151720"/>
      <w:r/>
      <w:bookmarkStart w:id="57" w:name="_Toc127161433"/>
      <w:r/>
      <w:bookmarkStart w:id="58" w:name="_Toc164608633"/>
      <w:r/>
      <w:bookmarkStart w:id="59" w:name="_Toc142311021"/>
      <w:r/>
      <w:bookmarkStart w:id="60" w:name="_Toc151193833"/>
      <w:r/>
      <w:bookmarkStart w:id="61" w:name="_Toc226965792"/>
      <w:r/>
      <w:bookmarkStart w:id="62" w:name="_Toc226965709"/>
      <w:r/>
      <w:bookmarkStart w:id="63" w:name="_Toc195842884"/>
      <w:r/>
      <w:bookmarkStart w:id="64" w:name="_Toc149720812"/>
      <w:r/>
      <w:bookmarkStart w:id="65" w:name="_Toc164229214"/>
      <w:r/>
      <w:bookmarkStart w:id="66" w:name="_Toc151193617"/>
      <w:r/>
      <w:bookmarkStart w:id="67" w:name="_Toc127151519"/>
      <w:r/>
      <w:bookmarkStart w:id="68" w:name="_Toc151193907"/>
      <w:r/>
      <w:bookmarkStart w:id="69" w:name="_Toc150774619"/>
      <w:r/>
      <w:bookmarkStart w:id="70" w:name="_Toc150509270"/>
      <w:r/>
      <w:bookmarkStart w:id="71" w:name="_Toc151190146"/>
      <w:r/>
      <w:bookmarkStart w:id="72" w:name="_Toc226337215"/>
      <w:r/>
      <w:bookmarkStart w:id="73" w:name="_Toc164229360"/>
      <w:r/>
      <w:bookmarkStart w:id="74" w:name="_Toc226309763"/>
      <w:r>
        <w:rPr>
          <w:rFonts w:hint="eastAsia" w:ascii="宋体" w:hAnsi="宋体" w:eastAsia="宋体" w:cs="宋体"/>
          <w:sz w:val="28"/>
          <w:highlight w:val="none"/>
        </w:rPr>
        <w:t xml:space="preserve">投标人须知资料表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p>
    <w:tbl>
      <w:tblPr>
        <w:tblStyle w:val="86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p>
            <w:pPr>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■服务</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lang w:eastAsia="zh-CN"/>
              </w:rPr>
              <w:t xml:space="preserve">□货物</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是否属于科研仪器设备采购项目：</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□是</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■否</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核心产品</w:t>
            </w:r>
            <w:r/>
          </w:p>
        </w:tc>
        <w:tc>
          <w:tcPr>
            <w:tcW w:w="7540" w:type="dxa"/>
            <w:vAlign w:val="center"/>
            <w:textDirection w:val="lrTb"/>
            <w:noWrap w:val="false"/>
          </w:tcPr>
          <w:p>
            <w:pPr>
              <w:pStyle w:val="1076"/>
              <w:rPr>
                <w:rFonts w:hint="eastAsia" w:ascii="宋体" w:hAnsi="宋体" w:eastAsia="宋体" w:cs="宋体"/>
                <w:sz w:val="24"/>
                <w:szCs w:val="24"/>
                <w:highlight w:val="none"/>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关于核心产品本项目__包不适用。</w:t>
            </w:r>
            <w:r/>
          </w:p>
          <w:p>
            <w:pPr>
              <w:pStyle w:val="107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本项目__包为单一产品采购项目。</w:t>
            </w:r>
            <w:r/>
          </w:p>
          <w:p>
            <w:pPr>
              <w:jc w:val="left"/>
              <w:rPr>
                <w:rFonts w:hint="eastAsia" w:ascii="宋体" w:hAnsi="宋体" w:eastAsia="宋体" w:cs="宋体"/>
                <w:sz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本项目__包为非单一产品采购项目，核心产品为：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w:t>
            </w:r>
            <w:r/>
          </w:p>
        </w:tc>
      </w:tr>
      <w:tr>
        <w:trPr>
          <w:cantSplit/>
          <w:jc w:val="center"/>
          <w:trHeight w:val="20"/>
        </w:trPr>
        <w:tc>
          <w:tcPr>
            <w:tcW w:w="988" w:type="dxa"/>
            <w:vAlign w:val="center"/>
            <w:vMerge w:val="restart"/>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■不组织</w:t>
            </w:r>
            <w:r/>
          </w:p>
          <w:p>
            <w:pPr>
              <w:jc w:val="left"/>
              <w:rPr>
                <w:rFonts w:hint="eastAsia" w:ascii="宋体" w:hAnsi="宋体" w:eastAsia="宋体" w:cs="宋体"/>
                <w:bCs/>
                <w:sz w:val="24"/>
                <w:highlight w:val="none"/>
              </w:rPr>
            </w:pPr>
            <w:r>
              <w:rPr>
                <w:rFonts w:hint="eastAsia" w:ascii="宋体" w:hAnsi="宋体" w:eastAsia="宋体" w:cs="宋体"/>
                <w:sz w:val="24"/>
                <w:highlight w:val="none"/>
              </w:rPr>
              <w:t xml:space="preserve">□组织，考察时间：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分</w:t>
            </w:r>
            <w:r/>
          </w:p>
          <w:p>
            <w:pPr>
              <w:pStyle w:val="107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考察地点：</w:t>
            </w:r>
            <w:r>
              <w:rPr>
                <w:rFonts w:hint="eastAsia" w:ascii="宋体" w:hAnsi="宋体" w:eastAsia="宋体" w:cs="宋体"/>
                <w:sz w:val="24"/>
                <w:highlight w:val="none"/>
                <w:u w:val="single"/>
              </w:rPr>
              <w:t xml:space="preserve">/</w:t>
            </w:r>
            <w:r>
              <w:rPr>
                <w:rFonts w:hint="eastAsia" w:ascii="宋体" w:hAnsi="宋体" w:eastAsia="宋体" w:cs="宋体"/>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■不召开</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□召开，召开时间：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召开地点：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□需要</w:t>
            </w:r>
            <w:r/>
          </w:p>
        </w:tc>
      </w:tr>
      <w:tr>
        <w:trPr>
          <w:jc w:val="center"/>
          <w:trHeight w:val="517"/>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sz w:val="24"/>
                <w:highlight w:val="none"/>
                <w:u w:val="single"/>
                <w:lang w:val="en-US" w:eastAsia="zh-CN"/>
              </w:rPr>
              <w:t xml:space="preserve">其他未列明行业</w:t>
            </w:r>
            <w:r/>
          </w:p>
        </w:tc>
      </w:tr>
      <w:tr>
        <w:trPr>
          <w:jc w:val="center"/>
          <w:trHeight w:val="517"/>
        </w:trPr>
        <w:tc>
          <w:tcPr>
            <w:tcW w:w="988"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c>
          <w:tcPr>
            <w:tcW w:w="1701"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纸质中标（成交）文件</w:t>
            </w:r>
            <w:r/>
          </w:p>
        </w:tc>
        <w:tc>
          <w:tcPr>
            <w:tcW w:w="7540"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中标（成交）单位在签订合同前需递交与电子投标文件内容一致的纸质投标文件</w:t>
            </w:r>
            <w:r>
              <w:rPr>
                <w:rFonts w:hint="eastAsia" w:ascii="宋体" w:hAnsi="宋体" w:eastAsia="宋体" w:cs="宋体"/>
                <w:sz w:val="24"/>
                <w:highlight w:val="none"/>
                <w:lang w:val="en-US" w:eastAsia="zh-CN"/>
              </w:rPr>
              <w:t xml:space="preserve">一份</w:t>
            </w:r>
            <w:r>
              <w:rPr>
                <w:rFonts w:hint="eastAsia" w:ascii="宋体" w:hAnsi="宋体" w:eastAsia="宋体" w:cs="宋体"/>
                <w:sz w:val="24"/>
                <w:highlight w:val="none"/>
                <w:lang w:val="en-US" w:eastAsia="zh-CN"/>
              </w:rPr>
              <w:t xml:space="preserve">正本</w:t>
            </w:r>
            <w:r>
              <w:rPr>
                <w:rFonts w:hint="eastAsia" w:ascii="宋体" w:hAnsi="宋体" w:eastAsia="宋体" w:cs="宋体"/>
                <w:sz w:val="24"/>
                <w:highlight w:val="none"/>
                <w:lang w:val="en-US" w:eastAsia="zh-CN"/>
              </w:rPr>
              <w:t xml:space="preserve">两份</w:t>
            </w:r>
            <w:r>
              <w:rPr>
                <w:rFonts w:hint="eastAsia" w:ascii="宋体" w:hAnsi="宋体" w:eastAsia="宋体" w:cs="宋体"/>
                <w:sz w:val="24"/>
                <w:highlight w:val="none"/>
                <w:lang w:val="en-US" w:eastAsia="zh-CN"/>
              </w:rPr>
              <w:t xml:space="preserve">副本</w:t>
            </w:r>
            <w:r>
              <w:rPr>
                <w:rFonts w:hint="eastAsia" w:ascii="宋体" w:hAnsi="宋体" w:eastAsia="宋体" w:cs="宋体"/>
                <w:sz w:val="24"/>
                <w:highlight w:val="none"/>
                <w:lang w:val="en-US" w:eastAsia="zh-CN"/>
              </w:rPr>
              <w:t xml:space="preserve">（需打印清晰，标注目录及页码），作为项目归档使用。（递交方式可采用邮寄或现场送达，联系方式见《第一章 采购邀请》）</w:t>
            </w:r>
            <w:r/>
          </w:p>
        </w:tc>
      </w:tr>
      <w:tr>
        <w:trPr>
          <w:jc w:val="center"/>
          <w:trHeight w:val="358"/>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投标报价的特殊规定：</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■无</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□有，具体情形：_____。</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免收</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本项目的非主体、非关键性工作是否允许分包： </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■不允许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□允许，具体要求：</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（1）可以分包履行的具体内容：</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（2）允许分包的金额或者比例：</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（3）其他要求：</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询问</w:t>
            </w:r>
            <w:r/>
          </w:p>
        </w:tc>
        <w:tc>
          <w:tcPr>
            <w:tcW w:w="7540"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（北京时间）前以书面形式提交至</w:t>
            </w:r>
            <w:r>
              <w:rPr>
                <w:rFonts w:hint="eastAsia" w:ascii="宋体" w:hAnsi="宋体" w:eastAsia="宋体" w:cs="宋体"/>
                <w:sz w:val="24"/>
                <w:highlight w:val="none"/>
              </w:rPr>
              <w:t xml:space="preserve">江苏常信保险经纪有限公司</w:t>
            </w:r>
            <w:r>
              <w:rPr>
                <w:rFonts w:hint="eastAsia" w:ascii="宋体" w:hAnsi="宋体" w:cs="宋体"/>
                <w:color w:val="000000"/>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（注：① 质疑文件须加盖响应单位公章；② 质疑文件以代理机构收到时间为准；否则代理机构有权拒收其质疑文件）。</w:t>
            </w:r>
            <w:r/>
          </w:p>
        </w:tc>
      </w:tr>
      <w:tr>
        <w:trPr>
          <w:jc w:val="center"/>
          <w:trHeight w:val="1411"/>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接收询问和质疑的联系方式</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联系部门：江苏常信保险经纪有限公司；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联系电话：0519-88126007 ；</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通讯地址：常州市局前街285号嘉乐广场A座710。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收费对象：</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□采购人</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■中标人</w:t>
            </w:r>
            <w:r/>
          </w:p>
          <w:p>
            <w:pPr>
              <w:numPr>
                <w:ilvl w:val="0"/>
                <w:numId w:val="8"/>
              </w:num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收费标准：</w:t>
            </w:r>
            <w:r/>
          </w:p>
          <w:p>
            <w:pPr>
              <w:numPr>
                <w:ilvl w:val="0"/>
                <w:numId w:val="0"/>
              </w:num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本次招标代理费：人民币伍仟元整（小写：¥5000.00）</w:t>
            </w:r>
            <w:r/>
          </w:p>
          <w:p>
            <w:pPr>
              <w:jc w:val="left"/>
              <w:rPr>
                <w:rFonts w:hint="eastAsia" w:ascii="宋体" w:hAnsi="宋体" w:eastAsia="宋体" w:cs="宋体"/>
                <w:sz w:val="24"/>
                <w:highlight w:val="none"/>
                <w:lang w:val="en-US"/>
              </w:rPr>
            </w:pPr>
            <w:r>
              <w:rPr>
                <w:rFonts w:hint="eastAsia" w:ascii="宋体" w:hAnsi="宋体" w:eastAsia="宋体" w:cs="宋体"/>
                <w:b/>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1" name="任意多边形 7"/>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缴纳时间：</w:t>
            </w:r>
            <w:r>
              <w:rPr>
                <w:rFonts w:hint="eastAsia" w:ascii="宋体" w:hAnsi="宋体" w:eastAsia="宋体" w:cs="宋体"/>
                <w:sz w:val="24"/>
                <w:highlight w:val="none"/>
                <w:lang w:val="en-US" w:eastAsia="zh-CN"/>
              </w:rPr>
              <w:t xml:space="preserve">中标人应在领取中标通知书时将服务期代理费支付至江苏常信保险经纪有限公司账户</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rPr>
                <w:rFonts w:hint="eastAsia" w:ascii="宋体" w:hAnsi="宋体" w:eastAsia="宋体" w:cs="宋体"/>
                <w:sz w:val="24"/>
                <w:highlight w:val="none"/>
                <w:u w:val="single"/>
              </w:rPr>
              <w:t xml:space="preserve">江苏常信保险经纪有限公司</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u w:val="single"/>
              </w:rPr>
              <w:t xml:space="preserve">中国建设银行股份有限公司常州钟楼支行</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账号：</w:t>
            </w:r>
            <w:r>
              <w:rPr>
                <w:rFonts w:hint="eastAsia" w:ascii="宋体" w:hAnsi="宋体" w:eastAsia="宋体" w:cs="宋体"/>
                <w:sz w:val="24"/>
                <w:highlight w:val="none"/>
                <w:u w:val="single"/>
              </w:rPr>
              <w:t xml:space="preserve">3205 0162 8836 0000 1954</w:t>
            </w:r>
            <w:r/>
          </w:p>
          <w:p>
            <w:pPr>
              <w:jc w:val="left"/>
              <w:tabs>
                <w:tab w:val="left" w:pos="1589"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ab/>
            </w:r>
            <w:r/>
          </w:p>
        </w:tc>
      </w:tr>
    </w:tbl>
    <w:p>
      <w:pPr>
        <w:jc w:val="both"/>
        <w:spacing w:line="360" w:lineRule="auto"/>
        <w:tabs>
          <w:tab w:val="left" w:pos="5580" w:leader="none"/>
        </w:tabs>
        <w:rPr>
          <w:rFonts w:hint="eastAsia" w:ascii="宋体" w:hAnsi="宋体" w:eastAsia="宋体" w:cs="宋体"/>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eastAsia="宋体" w:cs="宋体"/>
          <w:sz w:val="24"/>
          <w:highlight w:val="none"/>
        </w:rPr>
        <w:br w:type="page" w:clear="all"/>
      </w:r>
      <w:r/>
    </w:p>
    <w:p>
      <w:pPr>
        <w:jc w:val="center"/>
        <w:spacing w:before="240" w:after="240"/>
        <w:rPr>
          <w:rFonts w:hint="eastAsia" w:ascii="宋体" w:hAnsi="宋体" w:eastAsia="宋体" w:cs="宋体"/>
          <w:b/>
          <w:sz w:val="28"/>
          <w:szCs w:val="28"/>
          <w:highlight w:val="none"/>
        </w:rPr>
      </w:pPr>
      <w:r/>
      <w:bookmarkStart w:id="75" w:name="_Toc226337213"/>
      <w:r/>
      <w:bookmarkStart w:id="76" w:name="_Toc265228355"/>
      <w:r/>
      <w:bookmarkStart w:id="77" w:name="_Toc305158859"/>
      <w:r/>
      <w:bookmarkStart w:id="78" w:name="_Toc195842882"/>
      <w:r/>
      <w:bookmarkStart w:id="79" w:name="_Toc226965790"/>
      <w:r/>
      <w:bookmarkStart w:id="80" w:name="_Toc150480755"/>
      <w:r/>
      <w:bookmarkStart w:id="81" w:name="_Toc353873662"/>
      <w:r/>
      <w:bookmarkStart w:id="82" w:name="_Toc353825542"/>
      <w:r/>
      <w:bookmarkStart w:id="83" w:name="_Toc142311019"/>
      <w:r/>
      <w:bookmarkStart w:id="84" w:name="_Toc150774722"/>
      <w:r/>
      <w:bookmarkStart w:id="85" w:name="_Toc305158785"/>
      <w:r/>
      <w:bookmarkStart w:id="86" w:name="_Toc127151517"/>
      <w:r/>
      <w:bookmarkStart w:id="87" w:name="_Toc353873932"/>
      <w:r/>
      <w:bookmarkStart w:id="88" w:name="_Toc264969207"/>
      <w:r>
        <w:rPr>
          <w:rFonts w:hint="eastAsia" w:ascii="宋体" w:hAnsi="宋体" w:eastAsia="宋体" w:cs="宋体"/>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54"/>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89" w:name="_Toc127151518"/>
      <w:r/>
      <w:bookmarkStart w:id="90" w:name="_Toc520356143"/>
      <w:r>
        <w:rPr>
          <w:rFonts w:hint="eastAsia" w:ascii="宋体" w:hAnsi="宋体" w:eastAsia="宋体" w:cs="宋体"/>
          <w:sz w:val="28"/>
          <w:highlight w:val="none"/>
        </w:rPr>
        <w:tab/>
      </w:r>
      <w:bookmarkEnd w:id="89"/>
      <w:r/>
      <w:bookmarkEnd w:id="90"/>
      <w:r/>
      <w:bookmarkStart w:id="91" w:name="_Toc151193906"/>
      <w:r/>
      <w:bookmarkStart w:id="92" w:name="_Toc142311020"/>
      <w:r/>
      <w:bookmarkStart w:id="93" w:name="_Toc150509269"/>
      <w:r/>
      <w:bookmarkStart w:id="94" w:name="_Toc226337214"/>
      <w:r/>
      <w:bookmarkStart w:id="95" w:name="_Toc150774618"/>
      <w:r/>
      <w:bookmarkStart w:id="96" w:name="_Toc264969208"/>
      <w:r/>
      <w:bookmarkStart w:id="97" w:name="_Toc226309762"/>
      <w:r/>
      <w:bookmarkStart w:id="98" w:name="_Toc305158860"/>
      <w:r/>
      <w:bookmarkStart w:id="99" w:name="_Toc151193616"/>
      <w:r/>
      <w:bookmarkStart w:id="100" w:name="_Toc151193832"/>
      <w:r/>
      <w:bookmarkStart w:id="101" w:name="_Toc151193688"/>
      <w:r/>
      <w:bookmarkStart w:id="102" w:name="_Toc265228356"/>
      <w:r/>
      <w:bookmarkStart w:id="103" w:name="_Toc195842883"/>
      <w:r/>
      <w:bookmarkStart w:id="104" w:name="_Toc150774723"/>
      <w:r/>
      <w:bookmarkStart w:id="105" w:name="_Toc305158786"/>
      <w:r/>
      <w:bookmarkStart w:id="106" w:name="_Toc226965791"/>
      <w:r/>
      <w:bookmarkStart w:id="107" w:name="_Toc151190145"/>
      <w:r/>
      <w:bookmarkStart w:id="108" w:name="_Toc151193760"/>
      <w:r/>
      <w:bookmarkStart w:id="109" w:name="_Toc226965708"/>
      <w:r/>
      <w:bookmarkStart w:id="110" w:name="_Toc150480756"/>
      <w:r/>
      <w:bookmarkStart w:id="111" w:name="_Toc305158864"/>
      <w:r/>
      <w:bookmarkStart w:id="112" w:name="_Toc305158790"/>
      <w:r/>
      <w:bookmarkStart w:id="113" w:name="_Toc151190149"/>
      <w:r/>
      <w:bookmarkStart w:id="114" w:name="_Toc264969212"/>
      <w:r/>
      <w:bookmarkStart w:id="115" w:name="_Toc520356146"/>
      <w:r/>
      <w:bookmarkStart w:id="116" w:name="_Toc151193620"/>
      <w:r/>
      <w:bookmarkStart w:id="117" w:name="_Toc226965795"/>
      <w:r/>
      <w:bookmarkStart w:id="118" w:name="_Toc150509273"/>
      <w:r/>
      <w:bookmarkStart w:id="119" w:name="_Toc265228360"/>
      <w:r/>
      <w:bookmarkStart w:id="120" w:name="_Toc150774622"/>
      <w:r/>
      <w:bookmarkStart w:id="121" w:name="_Toc226965712"/>
      <w:r/>
      <w:bookmarkStart w:id="122" w:name="_Toc151193764"/>
      <w:r/>
      <w:bookmarkStart w:id="123" w:name="_Toc151193836"/>
      <w:r/>
      <w:bookmarkStart w:id="124" w:name="_Toc127151522"/>
      <w:r/>
      <w:bookmarkStart w:id="125" w:name="_Toc195842887"/>
      <w:r/>
      <w:bookmarkStart w:id="126" w:name="_Toc142311024"/>
      <w:r/>
      <w:bookmarkStart w:id="127" w:name="_Toc151193692"/>
      <w:r/>
      <w:bookmarkStart w:id="128" w:name="_Toc151193910"/>
      <w:r/>
      <w:bookmarkStart w:id="129" w:name="_Toc226337218"/>
      <w:r/>
      <w:bookmarkStart w:id="130" w:name="_Toc150774727"/>
      <w:r/>
      <w:bookmarkStart w:id="131" w:name="_Toc226309766"/>
      <w:r/>
      <w:bookmarkStart w:id="132" w:name="_Toc150480760"/>
      <w:r>
        <w:rPr>
          <w:rFonts w:hint="eastAsia" w:ascii="宋体" w:hAnsi="宋体" w:eastAsia="宋体" w:cs="宋体"/>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highlight w:val="none"/>
        </w:rPr>
        <w:tab/>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bookmarkStart w:id="133" w:name="_Toc264969209"/>
      <w:r/>
      <w:bookmarkStart w:id="134" w:name="_Toc265228357"/>
      <w:r/>
      <w:bookmarkStart w:id="135" w:name="_Toc305158787"/>
      <w:r/>
      <w:bookmarkStart w:id="136" w:name="_Toc305158861"/>
      <w:r>
        <w:rPr>
          <w:rFonts w:hint="eastAsia" w:ascii="宋体" w:hAnsi="宋体" w:eastAsia="宋体" w:cs="宋体"/>
          <w:sz w:val="24"/>
          <w:highlight w:val="none"/>
        </w:rPr>
        <w:t xml:space="preserve">采购人、采购代理机构、投标人</w:t>
      </w:r>
      <w:bookmarkEnd w:id="133"/>
      <w:r/>
      <w:bookmarkEnd w:id="134"/>
      <w:r/>
      <w:bookmarkEnd w:id="135"/>
      <w:r/>
      <w:bookmarkEnd w:id="136"/>
      <w:r>
        <w:rPr>
          <w:rFonts w:hint="eastAsia" w:ascii="宋体" w:hAnsi="宋体" w:eastAsia="宋体" w:cs="宋体"/>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投标人（也称“供应商”、“申请人”）：指向采购人提供货物、工程或者服务的法人、其他组织或者自然人。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bookmarkStart w:id="137" w:name="_Toc265228358"/>
      <w:r/>
      <w:bookmarkStart w:id="138" w:name="_Toc150774620"/>
      <w:r/>
      <w:bookmarkStart w:id="139" w:name="_Toc164351614"/>
      <w:r/>
      <w:bookmarkStart w:id="140" w:name="_Toc226965710"/>
      <w:r/>
      <w:bookmarkStart w:id="141" w:name="_Toc195842885"/>
      <w:r/>
      <w:bookmarkStart w:id="142" w:name="_Toc149720813"/>
      <w:r/>
      <w:bookmarkStart w:id="143" w:name="_Toc226965793"/>
      <w:r/>
      <w:bookmarkStart w:id="144" w:name="_Toc127151721"/>
      <w:r/>
      <w:bookmarkStart w:id="145" w:name="_Toc127161434"/>
      <w:r/>
      <w:bookmarkStart w:id="146" w:name="_Toc151193762"/>
      <w:r/>
      <w:bookmarkStart w:id="147" w:name="_Toc164608634"/>
      <w:r/>
      <w:bookmarkStart w:id="148" w:name="_Toc150509271"/>
      <w:r/>
      <w:bookmarkStart w:id="149" w:name="_Toc164229361"/>
      <w:r/>
      <w:bookmarkStart w:id="150" w:name="_Toc151193834"/>
      <w:r/>
      <w:bookmarkStart w:id="151" w:name="_Toc151193618"/>
      <w:r/>
      <w:bookmarkStart w:id="152" w:name="_Toc164608789"/>
      <w:r/>
      <w:bookmarkStart w:id="153" w:name="_Toc264969210"/>
      <w:r/>
      <w:bookmarkStart w:id="154" w:name="_Toc150480758"/>
      <w:r/>
      <w:bookmarkStart w:id="155" w:name="_Toc164229215"/>
      <w:r/>
      <w:bookmarkStart w:id="156" w:name="_Toc305158788"/>
      <w:r/>
      <w:bookmarkStart w:id="157" w:name="_Toc151193690"/>
      <w:r/>
      <w:bookmarkStart w:id="158" w:name="_Toc150774725"/>
      <w:r/>
      <w:bookmarkStart w:id="159" w:name="_Toc226337216"/>
      <w:r/>
      <w:bookmarkStart w:id="160" w:name="_Toc151193908"/>
      <w:r/>
      <w:bookmarkStart w:id="161" w:name="_Toc127151520"/>
      <w:r/>
      <w:bookmarkStart w:id="162" w:name="_Toc151190147"/>
      <w:r/>
      <w:bookmarkStart w:id="163" w:name="_Toc305158862"/>
      <w:r/>
      <w:bookmarkStart w:id="164" w:name="_Toc142311022"/>
      <w:r/>
      <w:bookmarkStart w:id="165" w:name="_Toc226309764"/>
      <w:r>
        <w:rPr>
          <w:rFonts w:hint="eastAsia" w:ascii="宋体" w:hAnsi="宋体" w:eastAsia="宋体" w:cs="宋体"/>
          <w:sz w:val="24"/>
          <w:highlight w:val="none"/>
        </w:rPr>
        <w:t xml:space="preserve">资金来源</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核心产品见《投标人须知资料表》。</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若《投标人须知资料表》中规定了组织现场考察、召开开标前答疑会，则投标人应按要求在规定的时间和地点参加。</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样品</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中小企业、监狱企业及残疾人福利性单位</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中小企业定义：</w:t>
      </w:r>
      <w:r/>
    </w:p>
    <w:p>
      <w:pPr>
        <w:pStyle w:val="899"/>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1"/>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1"/>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残疾人福利单位定义：享受政府采购支持政策的残疾人福利性单位应当同时满足以下条件：</w:t>
      </w:r>
      <w:r/>
    </w:p>
    <w:p>
      <w:pPr>
        <w:pStyle w:val="899"/>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9"/>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本项目是否专门面向中小企业预留采购份额见第一章《投标邀请》。</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采购标的对应的中小企业划分标准所属行业见《投标人须知资料表》。</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支持乡村产业振兴管理</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正版软件</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政府采购创新产品政策</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5.7     绿色采购政策</w:t>
      </w:r>
      <w:r/>
    </w:p>
    <w:p>
      <w:pPr>
        <w:ind w:firstLine="1200"/>
        <w:spacing w:line="480" w:lineRule="exact"/>
        <w:rPr>
          <w:rFonts w:hint="eastAsia" w:ascii="宋体" w:hAnsi="宋体" w:eastAsia="宋体" w:cs="宋体"/>
          <w:b/>
          <w:sz w:val="24"/>
          <w:highlight w:val="none"/>
        </w:rPr>
      </w:pPr>
      <w:r>
        <w:rPr>
          <w:rFonts w:hint="eastAsia" w:ascii="宋体" w:hAnsi="宋体" w:eastAsia="宋体" w:cs="宋体"/>
          <w:sz w:val="24"/>
          <w:highlight w:val="none"/>
        </w:rPr>
        <w:t xml:space="preserve">5.7.1  </w:t>
      </w:r>
      <w:r>
        <w:rPr>
          <w:rFonts w:hint="eastAsia" w:ascii="宋体" w:hAnsi="宋体" w:eastAsia="宋体" w:cs="宋体"/>
          <w:b/>
          <w:sz w:val="24"/>
          <w:highlight w:val="none"/>
        </w:rPr>
        <w:t xml:space="preserve">绿色数据中心政策 </w:t>
      </w:r>
      <w:r/>
    </w:p>
    <w:p>
      <w:pPr>
        <w:ind w:left="1197"/>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号）文件精神，采购</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5.7.2 推广应用绿色建材</w:t>
      </w:r>
      <w:r/>
    </w:p>
    <w:p>
      <w:pPr>
        <w:ind w:left="1197"/>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5.7.3 优先使用低挥发性有机化合物产品</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投标人应自行承担所有与准备和参加投标有关的费用，无论投标的结果如何，采购人或采购代理机构在任何情况下均无承担这些费用的义务和责任。</w:t>
      </w:r>
      <w:bookmarkStart w:id="166" w:name="_1.8_计量单位"/>
      <w:r/>
      <w:bookmarkEnd w:id="166"/>
      <w:r/>
      <w:r/>
    </w:p>
    <w:p>
      <w:pPr>
        <w:pStyle w:val="1039"/>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167" w:name="_Toc150480761"/>
      <w:r/>
      <w:bookmarkStart w:id="168" w:name="_Toc151193621"/>
      <w:r/>
      <w:bookmarkStart w:id="169" w:name="_Toc127151523"/>
      <w:r/>
      <w:bookmarkStart w:id="170" w:name="_Toc264969213"/>
      <w:r/>
      <w:bookmarkStart w:id="171" w:name="_Toc265228361"/>
      <w:r/>
      <w:bookmarkStart w:id="172" w:name="_Toc151190150"/>
      <w:r/>
      <w:bookmarkStart w:id="173" w:name="_Toc164229218"/>
      <w:r/>
      <w:bookmarkStart w:id="174" w:name="_Toc226965796"/>
      <w:r/>
      <w:bookmarkStart w:id="175" w:name="_Toc164608792"/>
      <w:r/>
      <w:bookmarkStart w:id="176" w:name="_Toc520356147"/>
      <w:r/>
      <w:bookmarkStart w:id="177" w:name="_Toc150774728"/>
      <w:r/>
      <w:bookmarkStart w:id="178" w:name="_Toc142311025"/>
      <w:r/>
      <w:bookmarkStart w:id="179" w:name="_Toc127151724"/>
      <w:r/>
      <w:bookmarkStart w:id="180" w:name="_Toc150774623"/>
      <w:r/>
      <w:bookmarkStart w:id="181" w:name="_Toc164229364"/>
      <w:r/>
      <w:bookmarkStart w:id="182" w:name="_Toc164608637"/>
      <w:r/>
      <w:bookmarkStart w:id="183" w:name="_Toc305158791"/>
      <w:r/>
      <w:bookmarkStart w:id="184" w:name="_Toc149720816"/>
      <w:r/>
      <w:bookmarkStart w:id="185" w:name="_Toc226965713"/>
      <w:r/>
      <w:bookmarkStart w:id="186" w:name="_Toc151193765"/>
      <w:r/>
      <w:bookmarkStart w:id="187" w:name="_Toc151193693"/>
      <w:r/>
      <w:bookmarkStart w:id="188" w:name="_Toc151193837"/>
      <w:r/>
      <w:bookmarkStart w:id="189" w:name="_Toc195842888"/>
      <w:r/>
      <w:bookmarkStart w:id="190" w:name="_Toc305158865"/>
      <w:r/>
      <w:bookmarkStart w:id="191" w:name="_Toc164351617"/>
      <w:r/>
      <w:bookmarkStart w:id="192" w:name="_Toc150509274"/>
      <w:r/>
      <w:bookmarkStart w:id="193" w:name="_Toc226309767"/>
      <w:r/>
      <w:bookmarkStart w:id="194" w:name="_Toc127161437"/>
      <w:r/>
      <w:bookmarkStart w:id="195" w:name="_Toc151193911"/>
      <w:r/>
      <w:bookmarkStart w:id="196" w:name="_Toc226337219"/>
      <w:r>
        <w:rPr>
          <w:rFonts w:hint="eastAsia" w:ascii="宋体" w:hAnsi="宋体" w:eastAsia="宋体" w:cs="宋体"/>
          <w:b/>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b/>
          <w:sz w:val="24"/>
          <w:highlight w:val="none"/>
        </w:rPr>
        <w:t xml:space="preserve">成</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招标文件包括以下部分：</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评标程序、评标方法和评标标准</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拟签订的合同文本</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对招标文件的澄清或修改</w:t>
      </w:r>
      <w:r/>
    </w:p>
    <w:p>
      <w:pPr>
        <w:numPr>
          <w:ilvl w:val="1"/>
          <w:numId w:val="11"/>
        </w:numPr>
        <w:ind w:left="0" w:firstLine="48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11"/>
        </w:numPr>
        <w:ind w:left="0" w:firstLine="48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39"/>
        <w:ind w:firstLine="562"/>
        <w:spacing w:before="0" w:line="360" w:lineRule="auto"/>
        <w:rPr>
          <w:rFonts w:hint="eastAsia" w:ascii="宋体" w:hAnsi="宋体" w:eastAsia="宋体" w:cs="宋体"/>
          <w:sz w:val="28"/>
          <w:highlight w:val="none"/>
        </w:rPr>
      </w:pPr>
      <w:r/>
      <w:bookmarkStart w:id="197" w:name="_Toc516367020"/>
      <w:r/>
      <w:bookmarkStart w:id="198" w:name="_Toc226309770"/>
      <w:r/>
      <w:bookmarkStart w:id="199" w:name="_Toc151193840"/>
      <w:r/>
      <w:bookmarkStart w:id="200" w:name="_Toc151193914"/>
      <w:r/>
      <w:bookmarkStart w:id="201" w:name="_Toc226965799"/>
      <w:r/>
      <w:bookmarkStart w:id="202" w:name="_Toc150509277"/>
      <w:r/>
      <w:bookmarkStart w:id="203" w:name="_Toc226337222"/>
      <w:r/>
      <w:bookmarkStart w:id="204" w:name="_Toc151193624"/>
      <w:r/>
      <w:bookmarkStart w:id="205" w:name="_Toc142311028"/>
      <w:r/>
      <w:bookmarkStart w:id="206" w:name="_Toc150480764"/>
      <w:r/>
      <w:bookmarkStart w:id="207" w:name="_Toc305158794"/>
      <w:r/>
      <w:bookmarkStart w:id="208" w:name="_Toc150774626"/>
      <w:r/>
      <w:bookmarkStart w:id="209" w:name="_Toc264969216"/>
      <w:r/>
      <w:bookmarkStart w:id="210" w:name="_Toc151193696"/>
      <w:r/>
      <w:bookmarkStart w:id="211" w:name="_Toc265228364"/>
      <w:r/>
      <w:bookmarkStart w:id="212" w:name="_Toc127151526"/>
      <w:r/>
      <w:bookmarkStart w:id="213" w:name="_Toc195842891"/>
      <w:r/>
      <w:bookmarkStart w:id="214" w:name="_Toc150774731"/>
      <w:r/>
      <w:bookmarkStart w:id="215" w:name="_Toc151190153"/>
      <w:r/>
      <w:bookmarkStart w:id="216" w:name="_Toc151193768"/>
      <w:r/>
      <w:bookmarkStart w:id="217" w:name="_Toc305158868"/>
      <w:r/>
      <w:bookmarkStart w:id="218" w:name="_Toc520356150"/>
      <w:r/>
      <w:bookmarkStart w:id="219" w:name="_Toc226965716"/>
      <w:r>
        <w:rPr>
          <w:rFonts w:hint="eastAsia" w:ascii="宋体" w:hAnsi="宋体" w:eastAsia="宋体" w:cs="宋体"/>
          <w:sz w:val="28"/>
          <w:highlight w:val="none"/>
        </w:rPr>
        <w:t xml:space="preserve">三   投标文件</w:t>
      </w:r>
      <w:bookmarkEnd w:id="197"/>
      <w:r>
        <w:rPr>
          <w:rFonts w:hint="eastAsia" w:ascii="宋体" w:hAnsi="宋体" w:eastAsia="宋体" w:cs="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220" w:name="_Toc150774627"/>
      <w:r/>
      <w:bookmarkStart w:id="221" w:name="_Toc151193625"/>
      <w:r/>
      <w:bookmarkStart w:id="222" w:name="_Toc520356151"/>
      <w:r/>
      <w:bookmarkStart w:id="223" w:name="_Toc164351621"/>
      <w:r/>
      <w:bookmarkStart w:id="224" w:name="_Toc127151728"/>
      <w:r/>
      <w:bookmarkStart w:id="225" w:name="_Toc305158795"/>
      <w:r/>
      <w:bookmarkStart w:id="226" w:name="_Toc151193841"/>
      <w:r/>
      <w:bookmarkStart w:id="227" w:name="_Toc226965800"/>
      <w:r/>
      <w:bookmarkStart w:id="228" w:name="_Toc164608796"/>
      <w:r/>
      <w:bookmarkStart w:id="229" w:name="_Toc226337223"/>
      <w:r/>
      <w:bookmarkStart w:id="230" w:name="_Toc151193915"/>
      <w:r/>
      <w:bookmarkStart w:id="231" w:name="_Toc149720820"/>
      <w:r/>
      <w:bookmarkStart w:id="232" w:name="_Toc305158869"/>
      <w:r/>
      <w:bookmarkStart w:id="233" w:name="_Toc150480765"/>
      <w:r/>
      <w:bookmarkStart w:id="234" w:name="_Toc150509278"/>
      <w:r/>
      <w:bookmarkStart w:id="235" w:name="_Toc226309771"/>
      <w:r/>
      <w:bookmarkStart w:id="236" w:name="_Toc195842892"/>
      <w:r/>
      <w:bookmarkStart w:id="237" w:name="_Toc264969217"/>
      <w:r/>
      <w:bookmarkStart w:id="238" w:name="_Toc151193697"/>
      <w:r/>
      <w:bookmarkStart w:id="239" w:name="_Toc127161441"/>
      <w:r/>
      <w:bookmarkStart w:id="240" w:name="_Toc127151527"/>
      <w:r/>
      <w:bookmarkStart w:id="241" w:name="_Toc516367021"/>
      <w:r/>
      <w:bookmarkStart w:id="242" w:name="_Toc164608641"/>
      <w:r/>
      <w:bookmarkStart w:id="243" w:name="_Toc164229368"/>
      <w:r/>
      <w:bookmarkStart w:id="244" w:name="_Toc142311029"/>
      <w:r/>
      <w:bookmarkStart w:id="245" w:name="_Toc151193769"/>
      <w:r/>
      <w:bookmarkStart w:id="246" w:name="_Toc150774732"/>
      <w:r/>
      <w:bookmarkStart w:id="247" w:name="_Toc265228365"/>
      <w:r/>
      <w:bookmarkStart w:id="248" w:name="_Toc151190154"/>
      <w:r/>
      <w:bookmarkStart w:id="249" w:name="_Toc164229222"/>
      <w:r/>
      <w:bookmarkStart w:id="250" w:name="_Toc226965717"/>
      <w:r>
        <w:rPr>
          <w:rFonts w:hint="eastAsia" w:ascii="宋体" w:hAnsi="宋体" w:eastAsia="宋体" w:cs="宋体"/>
          <w:b/>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
          <w:sz w:val="24"/>
          <w:highlight w:val="none"/>
        </w:rPr>
        <w:t xml:space="preserve">及投标语言</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 xml:space="preserve">无效投标</w:t>
      </w:r>
      <w:r>
        <w:rPr>
          <w:rFonts w:hint="eastAsia" w:ascii="宋体" w:hAnsi="宋体" w:eastAsia="宋体" w:cs="宋体"/>
          <w:sz w:val="24"/>
          <w:highlight w:val="none"/>
        </w:rPr>
        <w:t xml:space="preserve">。</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除招标文件有特殊要求外，本项目投标所使用的计量单位，应采用中华人民共和国法定计量单位。</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251" w:name="_Toc516367022"/>
      <w:r/>
      <w:bookmarkStart w:id="252" w:name="_Ref467306195"/>
      <w:r/>
      <w:bookmarkStart w:id="253" w:name="_Ref467306676"/>
      <w:r/>
      <w:bookmarkStart w:id="254" w:name="_Toc150509279"/>
      <w:r/>
      <w:bookmarkStart w:id="255" w:name="_Toc151193698"/>
      <w:r/>
      <w:bookmarkStart w:id="256" w:name="_Toc127151729"/>
      <w:r/>
      <w:bookmarkStart w:id="257" w:name="_Toc151190155"/>
      <w:r/>
      <w:bookmarkStart w:id="258" w:name="_Toc164229369"/>
      <w:r/>
      <w:bookmarkStart w:id="259" w:name="_Toc305158796"/>
      <w:r/>
      <w:bookmarkStart w:id="260" w:name="_Toc151193770"/>
      <w:r/>
      <w:bookmarkStart w:id="261" w:name="_Toc226309772"/>
      <w:r/>
      <w:bookmarkStart w:id="262" w:name="_Toc164608797"/>
      <w:r/>
      <w:bookmarkStart w:id="263" w:name="_Toc195842893"/>
      <w:r/>
      <w:bookmarkStart w:id="264" w:name="_Toc305158870"/>
      <w:r/>
      <w:bookmarkStart w:id="265" w:name="_Toc226965718"/>
      <w:r/>
      <w:bookmarkStart w:id="266" w:name="_Toc151193626"/>
      <w:r/>
      <w:bookmarkStart w:id="267" w:name="_Toc149720821"/>
      <w:r/>
      <w:bookmarkStart w:id="268" w:name="_Toc151193916"/>
      <w:r/>
      <w:bookmarkStart w:id="269" w:name="_Toc164608642"/>
      <w:r/>
      <w:bookmarkStart w:id="270" w:name="_Toc226337224"/>
      <w:r/>
      <w:bookmarkStart w:id="271" w:name="_Toc520356152"/>
      <w:r/>
      <w:bookmarkStart w:id="272" w:name="_Toc164351622"/>
      <w:r/>
      <w:bookmarkStart w:id="273" w:name="_Toc150774733"/>
      <w:r/>
      <w:bookmarkStart w:id="274" w:name="_Toc150480766"/>
      <w:r/>
      <w:bookmarkStart w:id="275" w:name="_Toc150774628"/>
      <w:r/>
      <w:bookmarkStart w:id="276" w:name="_Toc265228366"/>
      <w:r/>
      <w:bookmarkStart w:id="277" w:name="_Toc142311030"/>
      <w:r/>
      <w:bookmarkStart w:id="278" w:name="_Toc127161442"/>
      <w:r/>
      <w:bookmarkStart w:id="279" w:name="_Toc164229223"/>
      <w:r/>
      <w:bookmarkStart w:id="280" w:name="_Toc264969218"/>
      <w:r/>
      <w:bookmarkStart w:id="281" w:name="_Toc226965801"/>
      <w:r/>
      <w:bookmarkStart w:id="282" w:name="_Toc151193842"/>
      <w:r/>
      <w:bookmarkStart w:id="283" w:name="_Toc127151528"/>
      <w:r>
        <w:rPr>
          <w:rFonts w:hint="eastAsia" w:ascii="宋体" w:hAnsi="宋体" w:eastAsia="宋体" w:cs="宋体"/>
          <w:b/>
          <w:sz w:val="24"/>
          <w:highlight w:val="none"/>
        </w:rPr>
        <w:t xml:space="preserve">投标文件</w:t>
      </w:r>
      <w:bookmarkEnd w:id="251"/>
      <w:r/>
      <w:bookmarkEnd w:id="252"/>
      <w:r/>
      <w:bookmarkEnd w:id="253"/>
      <w:r>
        <w:rPr>
          <w:rFonts w:hint="eastAsia" w:ascii="宋体" w:hAnsi="宋体" w:eastAsia="宋体" w:cs="宋体"/>
          <w:b/>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bookmarkStart w:id="284" w:name="_Ref467052588"/>
      <w:r>
        <w:rPr>
          <w:rFonts w:hint="eastAsia" w:ascii="宋体" w:hAnsi="宋体" w:eastAsia="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第四章《评标程序、评标方法和评标标准》中涉及的证明文件。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投标人认为应附的其他材料。</w:t>
      </w:r>
      <w:bookmarkEnd w:id="284"/>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285" w:name="_Toc164229371"/>
      <w:r/>
      <w:bookmarkStart w:id="286" w:name="_Toc151193700"/>
      <w:r/>
      <w:bookmarkStart w:id="287" w:name="_Toc164608644"/>
      <w:r/>
      <w:bookmarkStart w:id="288" w:name="_Toc151193918"/>
      <w:r/>
      <w:bookmarkStart w:id="289" w:name="_Toc164608799"/>
      <w:r/>
      <w:bookmarkStart w:id="290" w:name="_Toc195842895"/>
      <w:r/>
      <w:bookmarkStart w:id="291" w:name="_Toc151193628"/>
      <w:r/>
      <w:bookmarkStart w:id="292" w:name="_Toc151193772"/>
      <w:r/>
      <w:bookmarkStart w:id="293" w:name="_Toc150774630"/>
      <w:r/>
      <w:bookmarkStart w:id="294" w:name="_Toc150480768"/>
      <w:r/>
      <w:bookmarkStart w:id="295" w:name="_Toc127151731"/>
      <w:r/>
      <w:bookmarkStart w:id="296" w:name="_Toc150509281"/>
      <w:r/>
      <w:bookmarkStart w:id="297" w:name="_Toc151193844"/>
      <w:r/>
      <w:bookmarkStart w:id="298" w:name="_Toc520356155"/>
      <w:r/>
      <w:bookmarkStart w:id="299" w:name="_Toc149720823"/>
      <w:r/>
      <w:bookmarkStart w:id="300" w:name="_Toc164229225"/>
      <w:r/>
      <w:bookmarkStart w:id="301" w:name="_Toc151190157"/>
      <w:r/>
      <w:bookmarkStart w:id="302" w:name="_Toc142311032"/>
      <w:r/>
      <w:bookmarkStart w:id="303" w:name="_Toc150774735"/>
      <w:r/>
      <w:bookmarkStart w:id="304" w:name="_Toc127151530"/>
      <w:r/>
      <w:bookmarkStart w:id="305" w:name="_Toc127161444"/>
      <w:r/>
      <w:bookmarkStart w:id="306" w:name="_Toc164351624"/>
      <w:r>
        <w:rPr>
          <w:rFonts w:hint="eastAsia" w:ascii="宋体" w:hAnsi="宋体" w:eastAsia="宋体" w:cs="宋体"/>
          <w:b/>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所有投标均以人民币报价。</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按照招标文件要求完成本项目的全部相关服务费用。 </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采购人不得向供应商索要或者接受其给予的赠品、回扣或者与采购无关的其他商品、服务。</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投标人不能提供任何有选择性或可调整的报价，否则其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307" w:name="_Toc127161445"/>
      <w:r/>
      <w:bookmarkStart w:id="308" w:name="_Toc164229226"/>
      <w:r/>
      <w:bookmarkStart w:id="309" w:name="_Toc149720824"/>
      <w:r/>
      <w:bookmarkStart w:id="310" w:name="_Toc305158799"/>
      <w:r/>
      <w:bookmarkStart w:id="311" w:name="_Toc265228369"/>
      <w:r/>
      <w:bookmarkStart w:id="312" w:name="_Toc164351625"/>
      <w:r/>
      <w:bookmarkStart w:id="313" w:name="_Toc150774631"/>
      <w:r/>
      <w:bookmarkStart w:id="314" w:name="_Toc305158873"/>
      <w:r/>
      <w:bookmarkStart w:id="315" w:name="_Toc150480769"/>
      <w:r/>
      <w:bookmarkStart w:id="316" w:name="_Toc150774736"/>
      <w:r/>
      <w:bookmarkStart w:id="317" w:name="_Toc520356156"/>
      <w:r/>
      <w:bookmarkStart w:id="318" w:name="_Toc264969221"/>
      <w:r/>
      <w:bookmarkStart w:id="319" w:name="_Toc151190158"/>
      <w:r/>
      <w:bookmarkStart w:id="320" w:name="_Toc151193919"/>
      <w:r/>
      <w:bookmarkStart w:id="321" w:name="_Toc151193629"/>
      <w:r/>
      <w:bookmarkStart w:id="322" w:name="_Toc164608800"/>
      <w:r/>
      <w:bookmarkStart w:id="323" w:name="_Ref467306513"/>
      <w:r/>
      <w:bookmarkStart w:id="324" w:name="_Toc150509282"/>
      <w:r/>
      <w:bookmarkStart w:id="325" w:name="_Toc226337227"/>
      <w:r/>
      <w:bookmarkStart w:id="326" w:name="_Toc127151531"/>
      <w:r/>
      <w:bookmarkStart w:id="327" w:name="_Toc226965721"/>
      <w:r/>
      <w:bookmarkStart w:id="328" w:name="_Toc127151732"/>
      <w:r/>
      <w:bookmarkStart w:id="329" w:name="_Toc226965804"/>
      <w:r/>
      <w:bookmarkStart w:id="330" w:name="_Toc142311033"/>
      <w:r/>
      <w:bookmarkStart w:id="331" w:name="_Toc226309775"/>
      <w:r/>
      <w:bookmarkStart w:id="332" w:name="_Toc151193773"/>
      <w:r/>
      <w:bookmarkStart w:id="333" w:name="_Toc151193845"/>
      <w:r/>
      <w:bookmarkStart w:id="334" w:name="_Toc151193701"/>
      <w:r/>
      <w:bookmarkStart w:id="335" w:name="_Toc164608645"/>
      <w:r/>
      <w:bookmarkStart w:id="336" w:name="_Toc195842896"/>
      <w:r/>
      <w:bookmarkStart w:id="337" w:name="_Toc164229372"/>
      <w:r>
        <w:rPr>
          <w:rFonts w:hint="eastAsia" w:ascii="宋体" w:hAnsi="宋体" w:eastAsia="宋体" w:cs="宋体"/>
          <w:b/>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根据江苏省和常州市的相关文件规定，免收投标保证金。</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338" w:name="_Toc164351626"/>
      <w:r/>
      <w:bookmarkStart w:id="339" w:name="_Toc142311034"/>
      <w:r/>
      <w:bookmarkStart w:id="340" w:name="_Toc226965722"/>
      <w:r/>
      <w:bookmarkStart w:id="341" w:name="_Toc226337228"/>
      <w:r/>
      <w:bookmarkStart w:id="342" w:name="_Toc265228370"/>
      <w:r/>
      <w:bookmarkStart w:id="343" w:name="_Toc151193702"/>
      <w:r/>
      <w:bookmarkStart w:id="344" w:name="_Toc226965805"/>
      <w:r/>
      <w:bookmarkStart w:id="345" w:name="_Toc127151532"/>
      <w:r/>
      <w:bookmarkStart w:id="346" w:name="_Toc151193920"/>
      <w:r/>
      <w:bookmarkStart w:id="347" w:name="_Toc305158800"/>
      <w:r/>
      <w:bookmarkStart w:id="348" w:name="_Toc151193774"/>
      <w:r/>
      <w:bookmarkStart w:id="349" w:name="_Toc150509283"/>
      <w:r/>
      <w:bookmarkStart w:id="350" w:name="_Toc226309776"/>
      <w:r/>
      <w:bookmarkStart w:id="351" w:name="_Toc164608801"/>
      <w:r/>
      <w:bookmarkStart w:id="352" w:name="_Toc195842897"/>
      <w:r/>
      <w:bookmarkStart w:id="353" w:name="_Toc520356157"/>
      <w:r/>
      <w:bookmarkStart w:id="354" w:name="_Toc305158874"/>
      <w:r/>
      <w:bookmarkStart w:id="355" w:name="_Toc151190159"/>
      <w:r/>
      <w:bookmarkStart w:id="356" w:name="_Toc127151733"/>
      <w:r/>
      <w:bookmarkStart w:id="357" w:name="_Toc149720825"/>
      <w:r/>
      <w:bookmarkStart w:id="358" w:name="_Toc264969222"/>
      <w:r/>
      <w:bookmarkStart w:id="359" w:name="_Toc151193630"/>
      <w:r/>
      <w:bookmarkStart w:id="360" w:name="_Toc150774737"/>
      <w:r/>
      <w:bookmarkStart w:id="361" w:name="_Toc164229373"/>
      <w:r/>
      <w:bookmarkStart w:id="362" w:name="_Toc164608646"/>
      <w:r/>
      <w:bookmarkStart w:id="363" w:name="_Toc127161446"/>
      <w:r/>
      <w:bookmarkStart w:id="364" w:name="_Toc150480770"/>
      <w:r/>
      <w:bookmarkStart w:id="365" w:name="_Toc151193846"/>
      <w:r/>
      <w:bookmarkStart w:id="366" w:name="_Toc150774632"/>
      <w:r/>
      <w:bookmarkStart w:id="367" w:name="_Toc164229227"/>
      <w:r>
        <w:rPr>
          <w:rFonts w:hint="eastAsia" w:ascii="宋体" w:hAnsi="宋体" w:eastAsia="宋体" w:cs="宋体"/>
          <w:b/>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368" w:name="_Toc195842898"/>
      <w:r/>
      <w:bookmarkStart w:id="369" w:name="_Toc305158875"/>
      <w:r/>
      <w:bookmarkStart w:id="370" w:name="_Toc226965723"/>
      <w:r/>
      <w:bookmarkStart w:id="371" w:name="_Toc226965806"/>
      <w:r/>
      <w:bookmarkStart w:id="372" w:name="_Toc164229374"/>
      <w:r/>
      <w:bookmarkStart w:id="373" w:name="_Toc164229228"/>
      <w:r/>
      <w:bookmarkStart w:id="374" w:name="_Toc150774633"/>
      <w:r/>
      <w:bookmarkStart w:id="375" w:name="_Toc226309777"/>
      <w:r/>
      <w:bookmarkStart w:id="376" w:name="_Toc520356158"/>
      <w:r/>
      <w:bookmarkStart w:id="377" w:name="_Toc164351627"/>
      <w:r/>
      <w:bookmarkStart w:id="378" w:name="_Toc151190160"/>
      <w:r/>
      <w:bookmarkStart w:id="379" w:name="_Toc150774738"/>
      <w:r/>
      <w:bookmarkStart w:id="380" w:name="_Toc305158801"/>
      <w:r/>
      <w:bookmarkStart w:id="381" w:name="_Toc127161447"/>
      <w:r/>
      <w:bookmarkStart w:id="382" w:name="_Toc127151533"/>
      <w:r/>
      <w:bookmarkStart w:id="383" w:name="_Toc150509284"/>
      <w:r/>
      <w:bookmarkStart w:id="384" w:name="_Toc226337229"/>
      <w:r/>
      <w:bookmarkStart w:id="385" w:name="_Toc151193775"/>
      <w:r/>
      <w:bookmarkStart w:id="386" w:name="_Toc150480771"/>
      <w:r/>
      <w:bookmarkStart w:id="387" w:name="_Toc151193847"/>
      <w:r/>
      <w:bookmarkStart w:id="388" w:name="_Toc265228371"/>
      <w:r/>
      <w:bookmarkStart w:id="389" w:name="_Toc151193921"/>
      <w:r/>
      <w:bookmarkStart w:id="390" w:name="_Toc149720826"/>
      <w:r/>
      <w:bookmarkStart w:id="391" w:name="_Toc164608647"/>
      <w:r/>
      <w:bookmarkStart w:id="392" w:name="_Toc151193703"/>
      <w:r/>
      <w:bookmarkStart w:id="393" w:name="_Toc142311035"/>
      <w:r/>
      <w:bookmarkStart w:id="394" w:name="_Toc264969223"/>
      <w:r/>
      <w:bookmarkStart w:id="395" w:name="_Toc164608802"/>
      <w:r/>
      <w:bookmarkStart w:id="396" w:name="_Toc127151734"/>
      <w:r/>
      <w:bookmarkStart w:id="397" w:name="_Toc151193631"/>
      <w:r>
        <w:rPr>
          <w:rFonts w:hint="eastAsia" w:ascii="宋体" w:hAnsi="宋体" w:eastAsia="宋体" w:cs="宋体"/>
          <w:b/>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b/>
          <w:sz w:val="24"/>
          <w:highlight w:val="none"/>
        </w:rPr>
        <w:t xml:space="preserve">、加盖公章</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bookmarkStart w:id="398" w:name="_Toc151193776"/>
      <w:r/>
      <w:bookmarkStart w:id="399" w:name="_Toc150774739"/>
      <w:r/>
      <w:bookmarkStart w:id="400" w:name="_Toc151193848"/>
      <w:r/>
      <w:bookmarkStart w:id="401" w:name="_Toc195842899"/>
      <w:r/>
      <w:bookmarkStart w:id="402" w:name="_Toc520356159"/>
      <w:r/>
      <w:bookmarkStart w:id="403" w:name="_Toc305158802"/>
      <w:r/>
      <w:bookmarkStart w:id="404" w:name="_Toc265228372"/>
      <w:r/>
      <w:bookmarkStart w:id="405" w:name="_Toc150480772"/>
      <w:r/>
      <w:bookmarkStart w:id="406" w:name="_Toc264969224"/>
      <w:r/>
      <w:bookmarkStart w:id="407" w:name="_Toc226965724"/>
      <w:r/>
      <w:bookmarkStart w:id="408" w:name="_Toc127151534"/>
      <w:r/>
      <w:bookmarkStart w:id="409" w:name="_Toc305158876"/>
      <w:r/>
      <w:bookmarkStart w:id="410" w:name="_Toc150509285"/>
      <w:r/>
      <w:bookmarkStart w:id="411" w:name="_Toc151193704"/>
      <w:r/>
      <w:bookmarkStart w:id="412" w:name="_Toc151190161"/>
      <w:r/>
      <w:bookmarkStart w:id="413" w:name="_Toc226965807"/>
      <w:r/>
      <w:bookmarkStart w:id="414" w:name="_Toc150774634"/>
      <w:r/>
      <w:bookmarkStart w:id="415" w:name="_Toc226337230"/>
      <w:r/>
      <w:bookmarkStart w:id="416" w:name="_Toc151193632"/>
      <w:r/>
      <w:bookmarkStart w:id="417" w:name="_Toc226309778"/>
      <w:r/>
      <w:bookmarkStart w:id="418" w:name="_Toc151193922"/>
      <w:r/>
      <w:bookmarkStart w:id="419" w:name="_Toc142311036"/>
      <w:r>
        <w:rPr>
          <w:rFonts w:hint="eastAsia" w:ascii="宋体" w:hAnsi="宋体" w:eastAsia="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eastAsia="宋体" w:cs="宋体"/>
          <w:highlight w:val="none"/>
        </w:rPr>
      </w:pPr>
      <w:r>
        <w:rPr>
          <w:rFonts w:hint="eastAsia" w:ascii="宋体" w:hAnsi="宋体" w:eastAsia="宋体" w:cs="宋体"/>
          <w:highlight w:val="none"/>
        </w:rPr>
      </w:r>
      <w:r/>
    </w:p>
    <w:p>
      <w:pPr>
        <w:pStyle w:val="1039"/>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420" w:name="_Toc127151535"/>
      <w:r/>
      <w:bookmarkStart w:id="421" w:name="_Toc265228373"/>
      <w:r/>
      <w:bookmarkStart w:id="422" w:name="_Toc150774635"/>
      <w:r/>
      <w:bookmarkStart w:id="423" w:name="_Toc520356160"/>
      <w:r/>
      <w:bookmarkStart w:id="424" w:name="_Toc164608649"/>
      <w:r/>
      <w:bookmarkStart w:id="425" w:name="_Toc150774740"/>
      <w:r/>
      <w:bookmarkStart w:id="426" w:name="_Toc226965725"/>
      <w:r/>
      <w:bookmarkStart w:id="427" w:name="_Toc195842900"/>
      <w:r/>
      <w:bookmarkStart w:id="428" w:name="_Toc149720828"/>
      <w:r/>
      <w:bookmarkStart w:id="429" w:name="_Toc151193777"/>
      <w:r/>
      <w:bookmarkStart w:id="430" w:name="_Toc151193705"/>
      <w:r/>
      <w:bookmarkStart w:id="431" w:name="_Toc305158877"/>
      <w:r/>
      <w:bookmarkStart w:id="432" w:name="_Toc226965808"/>
      <w:r/>
      <w:bookmarkStart w:id="433" w:name="_Toc151193633"/>
      <w:r/>
      <w:bookmarkStart w:id="434" w:name="_Toc127161449"/>
      <w:r/>
      <w:bookmarkStart w:id="435" w:name="_Toc150480773"/>
      <w:r/>
      <w:bookmarkStart w:id="436" w:name="_Toc151193923"/>
      <w:r/>
      <w:bookmarkStart w:id="437" w:name="_Toc150509286"/>
      <w:r/>
      <w:bookmarkStart w:id="438" w:name="_Toc164351629"/>
      <w:r/>
      <w:bookmarkStart w:id="439" w:name="_Toc264969225"/>
      <w:r/>
      <w:bookmarkStart w:id="440" w:name="_Toc226309779"/>
      <w:r/>
      <w:bookmarkStart w:id="441" w:name="_Toc164229230"/>
      <w:r/>
      <w:bookmarkStart w:id="442" w:name="_Toc127151736"/>
      <w:r/>
      <w:bookmarkStart w:id="443" w:name="_Toc305158803"/>
      <w:r/>
      <w:bookmarkStart w:id="444" w:name="_Toc142311037"/>
      <w:r/>
      <w:bookmarkStart w:id="445" w:name="_Toc164608804"/>
      <w:r/>
      <w:bookmarkStart w:id="446" w:name="_Toc151193849"/>
      <w:r/>
      <w:bookmarkStart w:id="447" w:name="_Toc226337231"/>
      <w:r/>
      <w:bookmarkStart w:id="448" w:name="_Toc164229376"/>
      <w:r/>
      <w:bookmarkStart w:id="449" w:name="_Toc151190162"/>
      <w:r>
        <w:rPr>
          <w:rFonts w:hint="eastAsia" w:ascii="宋体" w:hAnsi="宋体" w:eastAsia="宋体" w:cs="宋体"/>
          <w:b/>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b/>
          <w:sz w:val="24"/>
          <w:highlight w:val="none"/>
        </w:rPr>
        <w:t xml:space="preserve">提交</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本项目使用</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。投标人根据招标文件及</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供应商操作手册要求编制、生成并提交电子投标文件。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采购人及采购代理机构拒绝接受通过政府采购一体化平台“苏采云”以外任何形式提交的投标文件。</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450" w:name="_Toc305158878"/>
      <w:r/>
      <w:bookmarkStart w:id="451" w:name="_Toc164229231"/>
      <w:r/>
      <w:bookmarkStart w:id="452" w:name="_Toc127151536"/>
      <w:r/>
      <w:bookmarkStart w:id="453" w:name="_Toc264969226"/>
      <w:r/>
      <w:bookmarkStart w:id="454" w:name="_Toc150480774"/>
      <w:r/>
      <w:bookmarkStart w:id="455" w:name="_Toc265228374"/>
      <w:r/>
      <w:bookmarkStart w:id="456" w:name="_Toc520356161"/>
      <w:r/>
      <w:bookmarkStart w:id="457" w:name="_Toc127151737"/>
      <w:r/>
      <w:bookmarkStart w:id="458" w:name="_Toc164608650"/>
      <w:r/>
      <w:bookmarkStart w:id="459" w:name="_Toc305158804"/>
      <w:r/>
      <w:bookmarkStart w:id="460" w:name="_Toc151193778"/>
      <w:r/>
      <w:bookmarkStart w:id="461" w:name="_Toc150774741"/>
      <w:r/>
      <w:bookmarkStart w:id="462" w:name="_Toc226337232"/>
      <w:r/>
      <w:bookmarkStart w:id="463" w:name="_Toc164229377"/>
      <w:r/>
      <w:bookmarkStart w:id="464" w:name="_Toc142311038"/>
      <w:r/>
      <w:bookmarkStart w:id="465" w:name="_Toc149720829"/>
      <w:r/>
      <w:bookmarkStart w:id="466" w:name="_Toc150509287"/>
      <w:r/>
      <w:bookmarkStart w:id="467" w:name="_Toc164351630"/>
      <w:r/>
      <w:bookmarkStart w:id="468" w:name="_Toc151193924"/>
      <w:r/>
      <w:bookmarkStart w:id="469" w:name="_Toc151193706"/>
      <w:r/>
      <w:bookmarkStart w:id="470" w:name="_Toc164608805"/>
      <w:r/>
      <w:bookmarkStart w:id="471" w:name="_Toc226965809"/>
      <w:r/>
      <w:bookmarkStart w:id="472" w:name="_Toc150774636"/>
      <w:r/>
      <w:bookmarkStart w:id="473" w:name="_Toc151193634"/>
      <w:r/>
      <w:bookmarkStart w:id="474" w:name="_Toc127161450"/>
      <w:r/>
      <w:bookmarkStart w:id="475" w:name="_Toc151190163"/>
      <w:r/>
      <w:bookmarkStart w:id="476" w:name="_Toc226309780"/>
      <w:r/>
      <w:bookmarkStart w:id="477" w:name="_Toc195842901"/>
      <w:r/>
      <w:bookmarkStart w:id="478" w:name="_Toc151193850"/>
      <w:r/>
      <w:bookmarkStart w:id="479" w:name="_Toc226965726"/>
      <w:r>
        <w:rPr>
          <w:rFonts w:hint="eastAsia" w:ascii="宋体" w:hAnsi="宋体" w:eastAsia="宋体" w:cs="宋体"/>
          <w:b/>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b/>
          <w:sz w:val="24"/>
          <w:highlight w:val="none"/>
        </w:rPr>
        <w:t xml:space="preserve">时间</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投标人应在招标文件要求提交投标文件截止时间前，将电子投标文件提交至政府采购一体化平台“苏采云”。</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480" w:name="_Toc151193635"/>
      <w:r/>
      <w:bookmarkStart w:id="481" w:name="_Toc195842902"/>
      <w:r/>
      <w:bookmarkStart w:id="482" w:name="_Toc149720830"/>
      <w:r/>
      <w:bookmarkStart w:id="483" w:name="_Toc150509288"/>
      <w:r/>
      <w:bookmarkStart w:id="484" w:name="_Toc151193851"/>
      <w:r/>
      <w:bookmarkStart w:id="485" w:name="_Toc151190164"/>
      <w:r/>
      <w:bookmarkStart w:id="486" w:name="_Toc264969227"/>
      <w:r/>
      <w:bookmarkStart w:id="487" w:name="_Toc164608806"/>
      <w:r/>
      <w:bookmarkStart w:id="488" w:name="_Toc150480775"/>
      <w:r/>
      <w:bookmarkStart w:id="489" w:name="_Toc226965727"/>
      <w:r/>
      <w:bookmarkStart w:id="490" w:name="_Toc226309781"/>
      <w:r/>
      <w:bookmarkStart w:id="491" w:name="_Toc127151537"/>
      <w:r/>
      <w:bookmarkStart w:id="492" w:name="_Toc127161451"/>
      <w:r/>
      <w:bookmarkStart w:id="493" w:name="_Toc142311039"/>
      <w:r/>
      <w:bookmarkStart w:id="494" w:name="_Toc305158879"/>
      <w:r/>
      <w:bookmarkStart w:id="495" w:name="_Toc164608651"/>
      <w:r/>
      <w:bookmarkStart w:id="496" w:name="_Toc226965810"/>
      <w:r/>
      <w:bookmarkStart w:id="497" w:name="_Toc150774637"/>
      <w:r/>
      <w:bookmarkStart w:id="498" w:name="_Toc265228375"/>
      <w:r/>
      <w:bookmarkStart w:id="499" w:name="_Toc164351631"/>
      <w:r/>
      <w:bookmarkStart w:id="500" w:name="_Toc127151738"/>
      <w:r/>
      <w:bookmarkStart w:id="501" w:name="_Toc150774742"/>
      <w:r/>
      <w:bookmarkStart w:id="502" w:name="_Toc520356162"/>
      <w:r/>
      <w:bookmarkStart w:id="503" w:name="_Toc305158805"/>
      <w:r/>
      <w:bookmarkStart w:id="504" w:name="_Toc164229232"/>
      <w:r/>
      <w:bookmarkStart w:id="505" w:name="_Toc164229378"/>
      <w:r/>
      <w:bookmarkStart w:id="506" w:name="_Toc151193707"/>
      <w:r/>
      <w:bookmarkStart w:id="507" w:name="_Toc151193925"/>
      <w:r/>
      <w:bookmarkStart w:id="508" w:name="_Toc151193779"/>
      <w:r/>
      <w:bookmarkStart w:id="509" w:name="_Toc226337233"/>
      <w:r>
        <w:rPr>
          <w:rFonts w:hint="eastAsia" w:ascii="宋体" w:hAnsi="宋体" w:eastAsia="宋体" w:cs="宋体"/>
          <w:b/>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投标截止时间前，投标人可以通过政府采购一体化平台“苏采云”对所提交的投标文件进行补充、修改或者撤回。</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9"/>
        <w:ind w:firstLine="562"/>
        <w:spacing w:before="0" w:line="360" w:lineRule="auto"/>
        <w:rPr>
          <w:rFonts w:hint="eastAsia" w:ascii="宋体" w:hAnsi="宋体" w:eastAsia="宋体" w:cs="宋体"/>
          <w:sz w:val="28"/>
          <w:highlight w:val="none"/>
        </w:rPr>
      </w:pPr>
      <w:r/>
      <w:bookmarkStart w:id="510" w:name="_Toc151193852"/>
      <w:r/>
      <w:bookmarkStart w:id="511" w:name="_Toc226337234"/>
      <w:r/>
      <w:bookmarkStart w:id="512" w:name="_Toc151193780"/>
      <w:r/>
      <w:bookmarkStart w:id="513" w:name="_Toc151193708"/>
      <w:r/>
      <w:bookmarkStart w:id="514" w:name="_Toc150774638"/>
      <w:r/>
      <w:bookmarkStart w:id="515" w:name="_Toc150774743"/>
      <w:r/>
      <w:bookmarkStart w:id="516" w:name="_Toc127151538"/>
      <w:r/>
      <w:bookmarkStart w:id="517" w:name="_Toc226965728"/>
      <w:r/>
      <w:bookmarkStart w:id="518" w:name="_Toc151193636"/>
      <w:r/>
      <w:bookmarkStart w:id="519" w:name="_Toc265228376"/>
      <w:r/>
      <w:bookmarkStart w:id="520" w:name="_Toc264969228"/>
      <w:r/>
      <w:bookmarkStart w:id="521" w:name="_Toc150480776"/>
      <w:r/>
      <w:bookmarkStart w:id="522" w:name="_Toc142311040"/>
      <w:r/>
      <w:bookmarkStart w:id="523" w:name="_Toc151190165"/>
      <w:r/>
      <w:bookmarkStart w:id="524" w:name="_Toc195842903"/>
      <w:r/>
      <w:bookmarkStart w:id="525" w:name="_Toc305158806"/>
      <w:r/>
      <w:bookmarkStart w:id="526" w:name="_Toc151193926"/>
      <w:r/>
      <w:bookmarkStart w:id="527" w:name="_Toc520356163"/>
      <w:r/>
      <w:bookmarkStart w:id="528" w:name="_Toc305158880"/>
      <w:r/>
      <w:bookmarkStart w:id="529" w:name="_Toc226965811"/>
      <w:r/>
      <w:bookmarkStart w:id="530" w:name="_Toc150509289"/>
      <w:r/>
      <w:bookmarkStart w:id="531" w:name="_Toc226309782"/>
      <w:r>
        <w:rPr>
          <w:rFonts w:hint="eastAsia" w:ascii="宋体" w:hAnsi="宋体" w:eastAsia="宋体" w:cs="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532" w:name="_Toc151193853"/>
      <w:r/>
      <w:bookmarkStart w:id="533" w:name="_Toc142311041"/>
      <w:r/>
      <w:bookmarkStart w:id="534" w:name="_Toc164608808"/>
      <w:r/>
      <w:bookmarkStart w:id="535" w:name="_Toc151193781"/>
      <w:r/>
      <w:bookmarkStart w:id="536" w:name="_Toc150774744"/>
      <w:r/>
      <w:bookmarkStart w:id="537" w:name="_Toc150480777"/>
      <w:r/>
      <w:bookmarkStart w:id="538" w:name="_Toc195842904"/>
      <w:r/>
      <w:bookmarkStart w:id="539" w:name="_Toc520356164"/>
      <w:r/>
      <w:bookmarkStart w:id="540" w:name="_Toc149720832"/>
      <w:r/>
      <w:bookmarkStart w:id="541" w:name="_Toc226965812"/>
      <w:r/>
      <w:bookmarkStart w:id="542" w:name="_Toc164229234"/>
      <w:r/>
      <w:bookmarkStart w:id="543" w:name="_Toc151193637"/>
      <w:r/>
      <w:bookmarkStart w:id="544" w:name="_Toc127161453"/>
      <w:r/>
      <w:bookmarkStart w:id="545" w:name="_Toc127151740"/>
      <w:r/>
      <w:bookmarkStart w:id="546" w:name="_Toc151193927"/>
      <w:r/>
      <w:bookmarkStart w:id="547" w:name="_Toc164608653"/>
      <w:r/>
      <w:bookmarkStart w:id="548" w:name="_Toc265228377"/>
      <w:r/>
      <w:bookmarkStart w:id="549" w:name="_Toc164351633"/>
      <w:r/>
      <w:bookmarkStart w:id="550" w:name="_Toc264969229"/>
      <w:r/>
      <w:bookmarkStart w:id="551" w:name="_Toc151190166"/>
      <w:r/>
      <w:bookmarkStart w:id="552" w:name="_Toc226309783"/>
      <w:r/>
      <w:bookmarkStart w:id="553" w:name="_Toc305158807"/>
      <w:r/>
      <w:bookmarkStart w:id="554" w:name="_Toc226965729"/>
      <w:r/>
      <w:bookmarkStart w:id="555" w:name="_Toc150509290"/>
      <w:r/>
      <w:bookmarkStart w:id="556" w:name="_Toc226337235"/>
      <w:r/>
      <w:bookmarkStart w:id="557" w:name="_Toc305158881"/>
      <w:r/>
      <w:bookmarkStart w:id="558" w:name="_Toc151193709"/>
      <w:r/>
      <w:bookmarkStart w:id="559" w:name="_Toc164229380"/>
      <w:r/>
      <w:bookmarkStart w:id="560" w:name="_Toc150774639"/>
      <w:r/>
      <w:bookmarkStart w:id="561" w:name="_Toc127151539"/>
      <w:r>
        <w:rPr>
          <w:rFonts w:hint="eastAsia" w:ascii="宋体" w:hAnsi="宋体" w:eastAsia="宋体" w:cs="宋体"/>
          <w:b/>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采购人或采购代理机构将按招标文件的规定，在投标截止时间的同一时间和招标文件预先确定的地点组织开标。</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eastAsia="宋体" w:cs="宋体"/>
          <w:sz w:val="24"/>
          <w:highlight w:val="none"/>
        </w:rPr>
        <w:t xml:space="preserve">。投标人超过规定时间未确认但是未提出疑义的，系统将视同已确认。</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投标人不足3家的，不予开标。</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如果在采购活动过程中出现以下情形，导致“</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资格审查</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见第三章《资格审查》。</w:t>
      </w:r>
      <w:bookmarkEnd w:id="562"/>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563" w:name="_Toc164229235"/>
      <w:r/>
      <w:bookmarkStart w:id="564" w:name="_Toc150480778"/>
      <w:r/>
      <w:bookmarkStart w:id="565" w:name="_Toc150774745"/>
      <w:r/>
      <w:bookmarkStart w:id="566" w:name="_Toc305158808"/>
      <w:r/>
      <w:bookmarkStart w:id="567" w:name="_Toc226965730"/>
      <w:r/>
      <w:bookmarkStart w:id="568" w:name="_Toc150774640"/>
      <w:r/>
      <w:bookmarkStart w:id="569" w:name="_Toc226965813"/>
      <w:r/>
      <w:bookmarkStart w:id="570" w:name="_Toc142311042"/>
      <w:r/>
      <w:bookmarkStart w:id="571" w:name="_Toc195842905"/>
      <w:r/>
      <w:bookmarkStart w:id="572" w:name="_Toc305158882"/>
      <w:r/>
      <w:bookmarkStart w:id="573" w:name="_Toc226309784"/>
      <w:r/>
      <w:bookmarkStart w:id="574" w:name="_Toc265228378"/>
      <w:r/>
      <w:bookmarkStart w:id="575" w:name="_Toc127161454"/>
      <w:r/>
      <w:bookmarkStart w:id="576" w:name="_Toc149720833"/>
      <w:r/>
      <w:bookmarkStart w:id="577" w:name="_Toc151193638"/>
      <w:r/>
      <w:bookmarkStart w:id="578" w:name="_Toc164351634"/>
      <w:r/>
      <w:bookmarkStart w:id="579" w:name="_Toc150509291"/>
      <w:r/>
      <w:bookmarkStart w:id="580" w:name="_Toc164608809"/>
      <w:r/>
      <w:bookmarkStart w:id="581" w:name="_Toc151193928"/>
      <w:r/>
      <w:bookmarkStart w:id="582" w:name="_Toc151193782"/>
      <w:r/>
      <w:bookmarkStart w:id="583" w:name="_Toc151193854"/>
      <w:r/>
      <w:bookmarkStart w:id="584" w:name="_Toc264969230"/>
      <w:r/>
      <w:bookmarkStart w:id="585" w:name="_Toc226337236"/>
      <w:r/>
      <w:bookmarkStart w:id="586" w:name="_Toc127151540"/>
      <w:r/>
      <w:bookmarkStart w:id="587" w:name="_Toc164229381"/>
      <w:r/>
      <w:bookmarkStart w:id="588" w:name="_Toc151193710"/>
      <w:r/>
      <w:bookmarkStart w:id="589" w:name="_Toc151190167"/>
      <w:r/>
      <w:bookmarkStart w:id="590" w:name="_Toc127151741"/>
      <w:r/>
      <w:bookmarkStart w:id="591" w:name="_Toc164608654"/>
      <w:r>
        <w:rPr>
          <w:rFonts w:hint="eastAsia" w:ascii="宋体" w:hAnsi="宋体" w:eastAsia="宋体" w:cs="宋体"/>
          <w:b/>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评标程序、评标方法和评标标准</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39"/>
        <w:ind w:firstLine="562"/>
        <w:spacing w:before="0" w:line="360" w:lineRule="auto"/>
        <w:rPr>
          <w:rFonts w:hint="eastAsia" w:ascii="宋体" w:hAnsi="宋体" w:eastAsia="宋体" w:cs="宋体"/>
          <w:sz w:val="28"/>
          <w:highlight w:val="none"/>
        </w:rPr>
      </w:pPr>
      <w:r/>
      <w:bookmarkStart w:id="594" w:name="_Toc151190172"/>
      <w:r/>
      <w:bookmarkStart w:id="595" w:name="_Toc264969235"/>
      <w:r/>
      <w:bookmarkStart w:id="596" w:name="_Toc151193643"/>
      <w:r/>
      <w:bookmarkStart w:id="597" w:name="_Toc265228383"/>
      <w:r/>
      <w:bookmarkStart w:id="598" w:name="_Toc127151545"/>
      <w:r/>
      <w:bookmarkStart w:id="599" w:name="_Toc150774645"/>
      <w:r/>
      <w:bookmarkStart w:id="600" w:name="_Toc226337241"/>
      <w:r/>
      <w:bookmarkStart w:id="601" w:name="_Toc305158813"/>
      <w:r/>
      <w:bookmarkStart w:id="602" w:name="_Toc150774750"/>
      <w:r/>
      <w:bookmarkStart w:id="603" w:name="_Toc142311047"/>
      <w:r/>
      <w:bookmarkStart w:id="604" w:name="_Toc151193787"/>
      <w:r/>
      <w:bookmarkStart w:id="605" w:name="_Toc226965735"/>
      <w:r/>
      <w:bookmarkStart w:id="606" w:name="_Toc305158887"/>
      <w:r/>
      <w:bookmarkStart w:id="607" w:name="_Toc151193859"/>
      <w:r/>
      <w:bookmarkStart w:id="608" w:name="_Toc226965818"/>
      <w:r/>
      <w:bookmarkStart w:id="609" w:name="_Toc195842910"/>
      <w:r/>
      <w:bookmarkStart w:id="610" w:name="_Toc151193933"/>
      <w:r/>
      <w:bookmarkStart w:id="611" w:name="_Toc151193715"/>
      <w:r/>
      <w:bookmarkStart w:id="612" w:name="_Toc150480783"/>
      <w:r/>
      <w:bookmarkStart w:id="613" w:name="_Toc226309789"/>
      <w:r/>
      <w:bookmarkStart w:id="614" w:name="_Toc150509296"/>
      <w:r>
        <w:rPr>
          <w:rFonts w:hint="eastAsia" w:ascii="宋体" w:hAnsi="宋体" w:eastAsia="宋体" w:cs="宋体"/>
          <w:sz w:val="28"/>
          <w:highlight w:val="none"/>
        </w:rPr>
        <w:t xml:space="preserve">六   </w:t>
      </w:r>
      <w:bookmarkEnd w:id="593"/>
      <w:r>
        <w:rPr>
          <w:rFonts w:hint="eastAsia" w:ascii="宋体" w:hAnsi="宋体" w:eastAsia="宋体" w:cs="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151190174"/>
      <w:r/>
      <w:bookmarkStart w:id="617" w:name="_Toc195842912"/>
      <w:r/>
      <w:bookmarkStart w:id="618" w:name="_Toc226965820"/>
      <w:r/>
      <w:bookmarkStart w:id="619" w:name="_Toc127151547"/>
      <w:r/>
      <w:bookmarkStart w:id="620" w:name="_Toc164608661"/>
      <w:r/>
      <w:bookmarkStart w:id="621" w:name="_Toc150480785"/>
      <w:r/>
      <w:bookmarkStart w:id="622" w:name="_Toc151193717"/>
      <w:r/>
      <w:bookmarkStart w:id="623" w:name="_Toc164351641"/>
      <w:r/>
      <w:bookmarkStart w:id="624" w:name="_Toc149720840"/>
      <w:r/>
      <w:bookmarkStart w:id="625" w:name="_Toc164229242"/>
      <w:r/>
      <w:bookmarkStart w:id="626" w:name="_Toc164608816"/>
      <w:r/>
      <w:bookmarkStart w:id="627" w:name="_Toc265228385"/>
      <w:r/>
      <w:bookmarkStart w:id="628" w:name="_Toc151193645"/>
      <w:r/>
      <w:bookmarkStart w:id="629" w:name="_Toc150509298"/>
      <w:r/>
      <w:bookmarkStart w:id="630" w:name="_Toc151193861"/>
      <w:r/>
      <w:bookmarkStart w:id="631" w:name="_Toc226337243"/>
      <w:r/>
      <w:bookmarkStart w:id="632" w:name="_Toc151193935"/>
      <w:r/>
      <w:bookmarkStart w:id="633" w:name="_Toc305158889"/>
      <w:r/>
      <w:bookmarkStart w:id="634" w:name="_Toc150774647"/>
      <w:r/>
      <w:bookmarkStart w:id="635" w:name="_Toc127161461"/>
      <w:r/>
      <w:bookmarkStart w:id="636" w:name="_Toc150774752"/>
      <w:r/>
      <w:bookmarkStart w:id="637" w:name="_Toc226965737"/>
      <w:r/>
      <w:bookmarkStart w:id="638" w:name="_Toc127151748"/>
      <w:r/>
      <w:bookmarkStart w:id="639" w:name="_Toc264969237"/>
      <w:r/>
      <w:bookmarkStart w:id="640" w:name="_Toc305158815"/>
      <w:r/>
      <w:bookmarkStart w:id="641" w:name="_Toc164229388"/>
      <w:r/>
      <w:bookmarkStart w:id="642" w:name="_Toc142311049"/>
      <w:r/>
      <w:bookmarkStart w:id="643" w:name="_Toc226309791"/>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采购人将在评标报告确定的中标候选人名单中按顺序确定中标人，中标候选人并列的，由采购人依法确定。</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644" w:name="_Toc305158817"/>
      <w:r/>
      <w:bookmarkStart w:id="645" w:name="_Toc305158891"/>
      <w:r/>
      <w:bookmarkStart w:id="646" w:name="_Toc265228387"/>
      <w:r/>
      <w:bookmarkStart w:id="647" w:name="_Toc150774649"/>
      <w:r/>
      <w:bookmarkStart w:id="648" w:name="_Toc127151549"/>
      <w:r/>
      <w:bookmarkStart w:id="649" w:name="_Toc150774754"/>
      <w:r/>
      <w:bookmarkStart w:id="650" w:name="_Toc226965822"/>
      <w:r/>
      <w:bookmarkStart w:id="651" w:name="_Toc151193791"/>
      <w:r/>
      <w:bookmarkStart w:id="652" w:name="_Toc150480787"/>
      <w:r/>
      <w:bookmarkStart w:id="653" w:name="_Toc164351643"/>
      <w:r/>
      <w:bookmarkStart w:id="654" w:name="_Toc151190176"/>
      <w:r/>
      <w:bookmarkStart w:id="655" w:name="_Toc226965739"/>
      <w:r/>
      <w:bookmarkStart w:id="656" w:name="_Toc226337245"/>
      <w:r/>
      <w:bookmarkStart w:id="657" w:name="_Toc149720842"/>
      <w:r/>
      <w:bookmarkStart w:id="658" w:name="_Toc151193647"/>
      <w:r/>
      <w:bookmarkStart w:id="659" w:name="_Toc164608818"/>
      <w:r/>
      <w:bookmarkStart w:id="660" w:name="_Toc127151750"/>
      <w:r/>
      <w:bookmarkStart w:id="661" w:name="_Toc142311051"/>
      <w:r/>
      <w:bookmarkStart w:id="662" w:name="_Toc150509300"/>
      <w:r/>
      <w:bookmarkStart w:id="663" w:name="_Toc226309793"/>
      <w:r/>
      <w:bookmarkStart w:id="664" w:name="_Toc164229244"/>
      <w:r/>
      <w:bookmarkStart w:id="665" w:name="_Toc164608663"/>
      <w:r/>
      <w:bookmarkStart w:id="666" w:name="_Toc195842914"/>
      <w:r/>
      <w:bookmarkStart w:id="667" w:name="_Toc127161463"/>
      <w:r/>
      <w:bookmarkStart w:id="668" w:name="_Toc151193863"/>
      <w:r/>
      <w:bookmarkStart w:id="669" w:name="_Toc151193937"/>
      <w:r/>
      <w:bookmarkStart w:id="670" w:name="_Toc264969239"/>
      <w:r/>
      <w:bookmarkStart w:id="671" w:name="_Toc151193719"/>
      <w:r/>
      <w:bookmarkStart w:id="672" w:name="_Toc164229390"/>
      <w:r/>
      <w:bookmarkStart w:id="673" w:name="_Ref467306425"/>
      <w:r/>
      <w:bookmarkStart w:id="674" w:name="_Toc520356176"/>
      <w:r/>
      <w:bookmarkStart w:id="675" w:name="_Ref467307090"/>
      <w:r>
        <w:rPr>
          <w:rFonts w:hint="eastAsia" w:ascii="宋体" w:hAnsi="宋体" w:eastAsia="宋体" w:cs="宋体"/>
          <w:b/>
          <w:sz w:val="24"/>
          <w:highlight w:val="none"/>
        </w:rPr>
        <w:t xml:space="preserve">中标公告与中标通知书</w:t>
      </w:r>
      <w:bookmarkEnd w:id="644"/>
      <w:r/>
      <w:bookmarkEnd w:id="645"/>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废标</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在招标采购中，出现下列情形之一的，应予废标：</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符合专业条件的供应商或者对招标文件作实质响应的供应商不足三家的；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出现影响采购公正的违法、违规行为的；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投标人的报价均超过了采购预算，采购人不能支付的；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因重大变故，采购任务取消的。</w:t>
      </w:r>
      <w:r/>
    </w:p>
    <w:p>
      <w:pPr>
        <w:numPr>
          <w:ilvl w:val="2"/>
          <w:numId w:val="11"/>
        </w:numPr>
        <w:ind w:left="0" w:firstLine="488"/>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pacing w:val="2"/>
          <w:sz w:val="24"/>
          <w:highlight w:val="none"/>
        </w:rPr>
        <w:t xml:space="preserve">平台系统</w:t>
      </w:r>
      <w:r>
        <w:rPr>
          <w:rFonts w:hint="eastAsia" w:ascii="宋体" w:hAnsi="宋体" w:eastAsia="宋体" w:cs="宋体"/>
          <w:sz w:val="24"/>
          <w:highlight w:val="none"/>
        </w:rPr>
        <w:t xml:space="preserve">出现序号18.8的所述情形，情况严重且影响采购活动公平、公正性的。</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676" w:name="_Toc149720843"/>
      <w:r/>
      <w:bookmarkStart w:id="677" w:name="_Toc150774755"/>
      <w:r/>
      <w:bookmarkStart w:id="678" w:name="_Toc226965740"/>
      <w:r/>
      <w:bookmarkStart w:id="679" w:name="_Toc305158818"/>
      <w:r/>
      <w:bookmarkStart w:id="680" w:name="_Toc151190177"/>
      <w:r/>
      <w:bookmarkStart w:id="681" w:name="_Toc164229245"/>
      <w:r/>
      <w:bookmarkStart w:id="682" w:name="_Toc151193648"/>
      <w:r/>
      <w:bookmarkStart w:id="683" w:name="_Toc150480788"/>
      <w:r/>
      <w:bookmarkStart w:id="684" w:name="_Ref467307062"/>
      <w:r/>
      <w:bookmarkStart w:id="685" w:name="_Ref467306377"/>
      <w:r/>
      <w:bookmarkStart w:id="686" w:name="_Toc195842915"/>
      <w:r/>
      <w:bookmarkStart w:id="687" w:name="_Toc151193792"/>
      <w:r/>
      <w:bookmarkStart w:id="688" w:name="_Toc226965823"/>
      <w:r/>
      <w:bookmarkStart w:id="689" w:name="_Ref467307204"/>
      <w:r/>
      <w:bookmarkStart w:id="690" w:name="_Ref467306978"/>
      <w:r/>
      <w:bookmarkStart w:id="691" w:name="_Toc151193864"/>
      <w:r/>
      <w:bookmarkStart w:id="692" w:name="_Toc127161464"/>
      <w:r/>
      <w:bookmarkStart w:id="693" w:name="_Toc520356175"/>
      <w:r/>
      <w:bookmarkStart w:id="694" w:name="_Toc150509301"/>
      <w:r/>
      <w:bookmarkStart w:id="695" w:name="_Toc151193720"/>
      <w:r/>
      <w:bookmarkStart w:id="696" w:name="_Toc305158892"/>
      <w:r/>
      <w:bookmarkStart w:id="697" w:name="_Toc164608664"/>
      <w:r/>
      <w:bookmarkStart w:id="698" w:name="_Toc226309794"/>
      <w:r/>
      <w:bookmarkStart w:id="699" w:name="_Toc264969240"/>
      <w:r/>
      <w:bookmarkStart w:id="700" w:name="_Toc164608819"/>
      <w:r/>
      <w:bookmarkStart w:id="701" w:name="_Toc164351644"/>
      <w:r/>
      <w:bookmarkStart w:id="702" w:name="_Toc226337246"/>
      <w:r/>
      <w:bookmarkStart w:id="703" w:name="_Toc164229391"/>
      <w:r/>
      <w:bookmarkStart w:id="704" w:name="_Toc150774650"/>
      <w:r/>
      <w:bookmarkStart w:id="705" w:name="_Toc127151751"/>
      <w:r/>
      <w:bookmarkStart w:id="706" w:name="_Toc127151550"/>
      <w:r/>
      <w:bookmarkStart w:id="707" w:name="_Toc151193938"/>
      <w:r/>
      <w:bookmarkStart w:id="708" w:name="_Toc142311052"/>
      <w:r/>
      <w:bookmarkStart w:id="709" w:name="_Toc265228388"/>
      <w:r>
        <w:rPr>
          <w:rFonts w:hint="eastAsia" w:ascii="宋体" w:hAnsi="宋体" w:eastAsia="宋体" w:cs="宋体"/>
          <w:b/>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联合体中标的，联合体各方应当共同与采购人签订合同，就中标项目向采购人承担连带责任。</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政府采购合同不能转包。</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。中标人就采购项目和分包项目向采购人负责，分包供应商就分包项目承担责任。</w:t>
      </w:r>
      <w:bookmarkEnd w:id="673"/>
      <w:r/>
      <w:bookmarkEnd w:id="674"/>
      <w:r/>
      <w:bookmarkEnd w:id="675"/>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询问与质疑</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询问</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投标人对政府采购活动事项有疑问的，可依法提出询问，并按《投标人须知资料表》载明的形式送达采购人或采购代理机构。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采购人或采购代理机构对供应商依法提出的询问，在3个工作日内作出答复，但答复的内容不得涉及商业秘密。</w:t>
      </w:r>
      <w:r/>
    </w:p>
    <w:p>
      <w:pPr>
        <w:numPr>
          <w:ilvl w:val="1"/>
          <w:numId w:val="11"/>
        </w:numPr>
        <w:ind w:left="0" w:firstLine="480"/>
        <w:spacing w:line="360" w:lineRule="auto"/>
        <w:tabs>
          <w:tab w:val="left" w:pos="1080" w:leader="none"/>
          <w:tab w:val="left" w:pos="1276"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质疑</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1"/>
        </w:numPr>
        <w:ind w:left="0" w:firstLine="482"/>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质疑函须使用财政部制定的范本文件。（下载网址：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"http://gks.mof.gov.cn/ztztz/zhengfucaigouguanli/201802/t20180201_2804589.htm" </w:instrText>
      </w:r>
      <w:r>
        <w:rPr>
          <w:rFonts w:hint="eastAsia" w:ascii="宋体" w:hAnsi="宋体" w:eastAsia="宋体" w:cs="宋体"/>
          <w:highlight w:val="none"/>
        </w:rPr>
        <w:fldChar w:fldCharType="separate"/>
      </w:r>
      <w:r>
        <w:rPr>
          <w:rStyle w:val="1112"/>
          <w:rFonts w:hint="eastAsia" w:ascii="宋体" w:hAnsi="宋体" w:eastAsia="宋体" w:cs="宋体"/>
          <w:color w:val="000000"/>
          <w:highlight w:val="none"/>
        </w:rPr>
        <w:t xml:space="preserve">http://gk</w:t>
      </w:r>
      <w:bookmarkStart w:id="710" w:name="_Hlt100654014"/>
      <w:r>
        <w:rPr>
          <w:rStyle w:val="1112"/>
          <w:rFonts w:hint="eastAsia" w:ascii="宋体" w:hAnsi="宋体" w:eastAsia="宋体" w:cs="宋体"/>
          <w:color w:val="000000"/>
          <w:highlight w:val="none"/>
        </w:rPr>
        <w:t xml:space="preserve">s</w:t>
      </w:r>
      <w:bookmarkEnd w:id="710"/>
      <w:r>
        <w:rPr>
          <w:rStyle w:val="1112"/>
          <w:rFonts w:hint="eastAsia" w:ascii="宋体" w:hAnsi="宋体" w:eastAsia="宋体" w:cs="宋体"/>
          <w:color w:val="000000"/>
          <w:highlight w:val="none"/>
        </w:rPr>
        <w:t xml:space="preserve">.m</w:t>
      </w:r>
      <w:bookmarkStart w:id="711" w:name="_Hlt100653994"/>
      <w:r/>
      <w:bookmarkStart w:id="712" w:name="_Hlt100653993"/>
      <w:r>
        <w:rPr>
          <w:rStyle w:val="1112"/>
          <w:rFonts w:hint="eastAsia" w:ascii="宋体" w:hAnsi="宋体" w:eastAsia="宋体" w:cs="宋体"/>
          <w:color w:val="000000"/>
          <w:highlight w:val="none"/>
        </w:rPr>
        <w:t xml:space="preserve">o</w:t>
      </w:r>
      <w:bookmarkEnd w:id="711"/>
      <w:r/>
      <w:bookmarkEnd w:id="712"/>
      <w:r>
        <w:rPr>
          <w:rStyle w:val="1112"/>
          <w:rFonts w:hint="eastAsia" w:ascii="宋体" w:hAnsi="宋体" w:eastAsia="宋体" w:cs="宋体"/>
          <w:color w:val="000000"/>
          <w:highlight w:val="none"/>
        </w:rPr>
        <w:t xml:space="preserve">f.gov.cn/ztztz/zhengfucaigouguanli/201802/t20180201_2804589.htm</w:t>
      </w:r>
      <w:r>
        <w:rPr>
          <w:rFonts w:hint="eastAsia" w:ascii="宋体" w:hAnsi="宋体" w:eastAsia="宋体" w:cs="宋体"/>
          <w:highlight w:val="none"/>
        </w:rPr>
        <w:fldChar w:fldCharType="end"/>
      </w:r>
      <w:r>
        <w:rPr>
          <w:rFonts w:hint="eastAsia" w:ascii="宋体" w:hAnsi="宋体" w:eastAsia="宋体" w:cs="宋体"/>
          <w:highlight w:val="none"/>
        </w:rPr>
        <w:t xml:space="preserve">）</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接收询问和质疑的联系部门、联系电话和通讯地址见《投标人须知资料表》。</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代理费</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0"/>
      </w:pPr>
      <w:r/>
      <w:bookmarkStart w:id="713" w:name="_Toc142311056"/>
      <w:r/>
      <w:bookmarkStart w:id="714" w:name="_Toc305158822"/>
      <w:r/>
      <w:bookmarkStart w:id="715" w:name="_Toc353873934"/>
      <w:r/>
      <w:bookmarkStart w:id="716" w:name="_Toc150480792"/>
      <w:r/>
      <w:bookmarkStart w:id="717" w:name="_Toc150774759"/>
      <w:r/>
      <w:bookmarkStart w:id="718" w:name="_Toc226337250"/>
      <w:r/>
      <w:bookmarkStart w:id="719" w:name="_Toc226965827"/>
      <w:r/>
      <w:bookmarkStart w:id="720" w:name="_Toc265228392"/>
      <w:r/>
      <w:bookmarkStart w:id="721" w:name="_Toc264969244"/>
      <w:r/>
      <w:bookmarkStart w:id="722" w:name="_Toc353825544"/>
      <w:r/>
      <w:bookmarkStart w:id="723" w:name="_Toc127151554"/>
      <w:r/>
      <w:bookmarkStart w:id="724" w:name="_Toc353873664"/>
      <w:r/>
      <w:bookmarkStart w:id="725" w:name="_Toc305158896"/>
      <w:r>
        <w:rPr>
          <w:rFonts w:hint="eastAsia" w:ascii="宋体" w:hAnsi="宋体" w:eastAsia="宋体" w:cs="宋体"/>
          <w:sz w:val="24"/>
          <w:highlight w:val="none"/>
        </w:rPr>
        <w:br w:type="page" w:clear="all"/>
      </w:r>
      <w:bookmarkStart w:id="726" w:name="_Toc99301421"/>
      <w:r>
        <w:rPr>
          <w:rFonts w:hint="eastAsia" w:ascii="宋体" w:hAnsi="宋体" w:eastAsia="宋体" w:cs="宋体"/>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eastAsia="宋体" w:cs="宋体"/>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bookmarkStart w:id="728" w:name="_Toc99301422"/>
      <w:r>
        <w:rPr>
          <w:rFonts w:hint="eastAsia" w:ascii="宋体" w:hAnsi="宋体" w:eastAsia="宋体" w:cs="宋体"/>
          <w:b/>
          <w:sz w:val="24"/>
          <w:highlight w:val="none"/>
        </w:rPr>
        <w:t xml:space="preserve">一、资格审查程序</w:t>
      </w:r>
      <w:bookmarkEnd w:id="728"/>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开标结束后，采购人将根据《资格审查要求》中的规定，对投标人进行资格审查，并形成资格审查结果。</w:t>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《资格审查要求》中对格式有要求的，除招标文件另有规定外，均为“实质性格式”文件。</w:t>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资格审查合格的投标人不足3家的，不进行评标。</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p>
    <w:tbl>
      <w:tblPr>
        <w:tblStyle w:val="8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eastAsia="宋体" w:cs="宋体"/>
                <w:b/>
                <w:sz w:val="24"/>
                <w:highlight w:val="none"/>
              </w:rPr>
            </w:pPr>
            <w:r/>
            <w:bookmarkStart w:id="729" w:name="_Hlt487972895"/>
            <w:r/>
            <w:bookmarkEnd w:id="729"/>
            <w:r>
              <w:rPr>
                <w:rFonts w:hint="eastAsia" w:ascii="宋体" w:hAnsi="宋体" w:eastAsia="宋体" w:cs="宋体"/>
                <w:b/>
                <w:sz w:val="24"/>
                <w:highlight w:val="none"/>
              </w:rPr>
              <w:t xml:space="preserve">序号</w:t>
            </w:r>
            <w:r/>
          </w:p>
        </w:tc>
        <w:tc>
          <w:tcPr>
            <w:tcW w:w="1067"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2596"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c>
          <w:tcPr>
            <w:tcW w:w="882"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22"/>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p>
        </w:tc>
        <w:tc>
          <w:tcPr>
            <w:tcW w:w="1982"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营业执照</w:t>
            </w:r>
            <w:r/>
          </w:p>
        </w:tc>
        <w:tc>
          <w:tcPr>
            <w:tcW w:w="4822"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有效的法人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负责人）</w:t>
            </w:r>
            <w:r>
              <w:rPr>
                <w:rFonts w:hint="eastAsia" w:ascii="宋体" w:hAnsi="宋体" w:eastAsia="宋体" w:cs="宋体"/>
                <w:sz w:val="24"/>
                <w:highlight w:val="none"/>
              </w:rPr>
              <w:t xml:space="preserve">或者其他组织的营业执照等证明文件</w:t>
            </w:r>
            <w:r/>
          </w:p>
        </w:tc>
        <w:tc>
          <w:tcPr>
            <w:tcW w:w="1638"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Cs w:val="21"/>
                <w:highlight w:val="none"/>
              </w:rPr>
              <w:t xml:space="preserve">提供证明文件的电子件或电子证照</w:t>
            </w:r>
            <w:r>
              <w:rPr>
                <w:rFonts w:hint="eastAsia" w:ascii="宋体" w:hAnsi="宋体" w:eastAsia="宋体" w:cs="宋体"/>
                <w:szCs w:val="21"/>
                <w:highlight w:val="none"/>
                <w:lang w:eastAsia="zh-CN"/>
              </w:rPr>
              <w:t xml:space="preserve">。</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提供符合招标文件要求的《投标人资格声明函》。</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t>
            </w:r>
            <w:r>
              <w:rPr>
                <w:rFonts w:hint="eastAsia" w:ascii="宋体" w:hAnsi="宋体" w:eastAsia="宋体" w:cs="宋体"/>
                <w:highlight w:val="none"/>
              </w:rPr>
              <w:t xml:space="preserve">www.creditchina.gov.cn</w:t>
            </w:r>
            <w:r>
              <w:rPr>
                <w:rFonts w:hint="eastAsia" w:ascii="宋体" w:hAnsi="宋体" w:eastAsia="宋体" w:cs="宋体"/>
                <w:sz w:val="24"/>
                <w:highlight w:val="none"/>
              </w:rPr>
              <w:t xml:space="preserve">、</w:t>
            </w:r>
            <w:r>
              <w:rPr>
                <w:rFonts w:hint="eastAsia" w:ascii="宋体" w:hAnsi="宋体" w:eastAsia="宋体" w:cs="宋体"/>
                <w:highlight w:val="none"/>
              </w:rPr>
              <w:t xml:space="preserve">www.ccgp.gov.cn</w:t>
            </w:r>
            <w:r>
              <w:rPr>
                <w:rFonts w:hint="eastAsia" w:ascii="宋体" w:hAnsi="宋体" w:eastAsia="宋体" w:cs="宋体"/>
                <w:sz w:val="24"/>
                <w:highlight w:val="none"/>
              </w:rPr>
              <w:t xml:space="preserve">）；</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注2：残疾人福利性单位须按招标文件要求提供《残疾人福利性单位声明函》。</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其他特定资格要求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Cs w:val="21"/>
                <w:highlight w:val="none"/>
              </w:rPr>
              <w:t xml:space="preserve">提供证明文件的电子件或电子证照</w:t>
            </w:r>
            <w:r>
              <w:rPr>
                <w:rFonts w:hint="eastAsia" w:ascii="宋体" w:hAnsi="宋体" w:eastAsia="宋体" w:cs="宋体"/>
                <w:szCs w:val="21"/>
                <w:highlight w:val="none"/>
                <w:lang w:eastAsia="zh-CN"/>
              </w:rPr>
              <w:t xml:space="preserve">。</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eastAsia="宋体" w:cs="宋体"/>
          <w:sz w:val="24"/>
          <w:highlight w:val="none"/>
        </w:rPr>
      </w:pPr>
      <w:r/>
      <w:bookmarkStart w:id="730" w:name="_Toc353873940"/>
      <w:r/>
      <w:bookmarkStart w:id="731" w:name="_Toc127161490"/>
      <w:r/>
      <w:bookmarkStart w:id="732" w:name="_Toc353825550"/>
      <w:r/>
      <w:bookmarkStart w:id="733" w:name="_Toc127151779"/>
      <w:r/>
      <w:bookmarkStart w:id="734" w:name="_Toc226965858"/>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0"/>
      </w:pPr>
      <w:r/>
      <w:bookmarkStart w:id="735" w:name="_Toc99301423"/>
      <w:r>
        <w:rPr>
          <w:rFonts w:hint="eastAsia" w:ascii="宋体" w:hAnsi="宋体" w:eastAsia="宋体" w:cs="宋体"/>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eastAsia="宋体" w:cs="宋体"/>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p>
    <w:p>
      <w:pPr>
        <w:numPr>
          <w:ilvl w:val="0"/>
          <w:numId w:val="14"/>
        </w:numPr>
        <w:ind w:left="0" w:firstLine="482"/>
        <w:spacing w:line="360" w:lineRule="auto"/>
        <w:tabs>
          <w:tab w:val="left" w:pos="360" w:leader="none"/>
          <w:tab w:val="left" w:pos="851" w:leader="none"/>
          <w:tab w:val="clear" w:pos="900" w:leader="none"/>
        </w:tabs>
        <w:rPr>
          <w:rFonts w:hint="eastAsia" w:ascii="宋体" w:hAnsi="宋体" w:eastAsia="宋体" w:cs="宋体"/>
          <w:b/>
          <w:sz w:val="24"/>
          <w:highlight w:val="none"/>
        </w:rPr>
        <w:outlineLvl w:val="1"/>
      </w:pPr>
      <w:r/>
      <w:bookmarkStart w:id="737" w:name="_Toc127151541"/>
      <w:r/>
      <w:bookmarkStart w:id="738" w:name="_Toc226309785"/>
      <w:r/>
      <w:bookmarkStart w:id="739" w:name="_Toc164229236"/>
      <w:r/>
      <w:bookmarkStart w:id="740" w:name="_Toc164608655"/>
      <w:r/>
      <w:bookmarkStart w:id="741" w:name="_Toc151190168"/>
      <w:r/>
      <w:bookmarkStart w:id="742" w:name="_Toc127151742"/>
      <w:r/>
      <w:bookmarkStart w:id="743" w:name="_Toc264969231"/>
      <w:r/>
      <w:bookmarkStart w:id="744" w:name="_Toc226965731"/>
      <w:r/>
      <w:bookmarkStart w:id="745" w:name="_Toc305158883"/>
      <w:r/>
      <w:bookmarkStart w:id="746" w:name="_Toc151193929"/>
      <w:r/>
      <w:bookmarkStart w:id="747" w:name="_Toc226965814"/>
      <w:r/>
      <w:bookmarkStart w:id="748" w:name="_Toc265228379"/>
      <w:r/>
      <w:bookmarkStart w:id="749" w:name="_Toc164351635"/>
      <w:r/>
      <w:bookmarkStart w:id="750" w:name="_Toc142311043"/>
      <w:r/>
      <w:bookmarkStart w:id="751" w:name="_Toc150509292"/>
      <w:r/>
      <w:bookmarkStart w:id="752" w:name="_Toc164608810"/>
      <w:r/>
      <w:bookmarkStart w:id="753" w:name="_Toc150774746"/>
      <w:r/>
      <w:bookmarkStart w:id="754" w:name="_Toc151193711"/>
      <w:r/>
      <w:bookmarkStart w:id="755" w:name="_Toc195842906"/>
      <w:r/>
      <w:bookmarkStart w:id="756" w:name="_Toc226337237"/>
      <w:r/>
      <w:bookmarkStart w:id="757" w:name="_Toc127161455"/>
      <w:r/>
      <w:bookmarkStart w:id="758" w:name="_Toc151193855"/>
      <w:r/>
      <w:bookmarkStart w:id="759" w:name="_Toc164229382"/>
      <w:r/>
      <w:bookmarkStart w:id="760" w:name="_Toc150774641"/>
      <w:r/>
      <w:bookmarkStart w:id="761" w:name="_Toc149720834"/>
      <w:r/>
      <w:bookmarkStart w:id="762" w:name="_Toc151193783"/>
      <w:r/>
      <w:bookmarkStart w:id="763" w:name="_Toc305158809"/>
      <w:r/>
      <w:bookmarkStart w:id="764" w:name="_Toc151193639"/>
      <w:r/>
      <w:bookmarkStart w:id="765" w:name="_Toc150480779"/>
      <w:r/>
      <w:bookmarkStart w:id="766" w:name="_Toc353825551"/>
      <w:r/>
      <w:bookmarkStart w:id="767" w:name="_Toc353873941"/>
      <w:r/>
      <w:bookmarkStart w:id="768" w:name="_Toc305158897"/>
      <w:r/>
      <w:bookmarkStart w:id="769" w:name="_Toc150480793"/>
      <w:r/>
      <w:bookmarkStart w:id="770" w:name="_Toc353873935"/>
      <w:r/>
      <w:bookmarkStart w:id="771" w:name="_Toc353873665"/>
      <w:r/>
      <w:bookmarkStart w:id="772" w:name="_Toc195842920"/>
      <w:r/>
      <w:bookmarkStart w:id="773" w:name="_Toc150774760"/>
      <w:r/>
      <w:bookmarkStart w:id="774" w:name="_Toc353825545"/>
      <w:r/>
      <w:bookmarkStart w:id="775" w:name="_Toc142311057"/>
      <w:r/>
      <w:bookmarkStart w:id="776" w:name="_Toc127151555"/>
      <w:r/>
      <w:bookmarkStart w:id="777" w:name="_Toc305158823"/>
      <w:r/>
      <w:bookmarkStart w:id="778" w:name="_Toc265228393"/>
      <w:r/>
      <w:bookmarkStart w:id="779" w:name="_Toc226965828"/>
      <w:r/>
      <w:bookmarkStart w:id="780" w:name="_Toc264969245"/>
      <w:r/>
      <w:bookmarkStart w:id="781" w:name="_Toc226337251"/>
      <w:r>
        <w:rPr>
          <w:rFonts w:hint="eastAsia" w:ascii="宋体" w:hAnsi="宋体" w:eastAsia="宋体" w:cs="宋体"/>
          <w:b/>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0" w:firstLine="480"/>
        <w:spacing w:line="360" w:lineRule="auto"/>
        <w:tabs>
          <w:tab w:val="left" w:pos="993" w:leader="none"/>
          <w:tab w:val="clear"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4"/>
        </w:numPr>
        <w:ind w:left="0" w:firstLine="480"/>
        <w:spacing w:line="360" w:lineRule="auto"/>
        <w:tabs>
          <w:tab w:val="left" w:pos="993" w:leader="none"/>
          <w:tab w:val="clear"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p>
    <w:tbl>
      <w:tblPr>
        <w:tblStyle w:val="8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976"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3620"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投标函、法定代表人资格证明书</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和政府采购供应商信用承诺书</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按招标文件要求提供投标函、法定代表人资格证明书</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和政府采购供应商信用承诺书；格式见《</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文件格式》</w:t>
            </w:r>
            <w:r/>
          </w:p>
        </w:tc>
      </w:tr>
      <w:tr>
        <w:trPr>
          <w:jc w:val="center"/>
          <w:trHeight w:val="686"/>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投标完整性</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报价唯一性</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签署、加盖公章</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实质性格式</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标记为“实质性格式”的文件均按招标文件要求提供；格式见《</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文件格式》</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★号条款响应</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投标文件满足招标文件第五章《采购需求》中★号条款要求的；格式见《投标文件格式》</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分包意向协议</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报价合理性</w:t>
            </w:r>
            <w:r/>
          </w:p>
        </w:tc>
        <w:tc>
          <w:tcPr>
            <w:tcW w:w="3620" w:type="pct"/>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1、投标（响应）报价低于采购项目预算50%的，即投标（响应）报价&lt;采购项目预算×50%；</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2、投标（响应）报价低于采购项目最高限价45%的，即投 标（响应）报价&lt;采购项目最高限价×45%；</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3、评审委员会认定的供应商报价过低、有可能影响产品质 量或者不能诚信履约的其他情形。</w:t>
            </w:r>
            <w:r/>
          </w:p>
          <w:p>
            <w:pPr>
              <w:jc w:val="lef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启动异常低价投标（响应）审查后，评审委员会应当 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13</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14</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15</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公平竞争</w:t>
            </w:r>
            <w:r/>
          </w:p>
        </w:tc>
        <w:tc>
          <w:tcPr>
            <w:tcW w:w="3620" w:type="pct"/>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sz w:val="24"/>
                <w:highlight w:val="none"/>
                <w:lang w:eastAsia="zh-CN"/>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16</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串通投标</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不存在《政府采购货物和服务招标投标管理办法》视为投标人串通投标的情形：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（三）不同投标人的投标文件载明的项目管理成员或者联系人员为同一人；</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（四）不同投标人的投标文件异常一致或者投标报价呈规律 性差异；</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（五）不同投标人的投标文件相互混装；</w:t>
            </w:r>
            <w:r/>
          </w:p>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（六）不同投标人的投标保证金从同一单位或者个人的账户转出</w:t>
            </w:r>
            <w:r>
              <w:rPr>
                <w:rFonts w:hint="eastAsia" w:ascii="宋体" w:hAnsi="宋体" w:eastAsia="宋体" w:cs="宋体"/>
                <w:sz w:val="24"/>
                <w:highlight w:val="none"/>
                <w:lang w:eastAsia="zh-CN"/>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17</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附加条件</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18</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其他无效情形</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投标人、投标文件不存在不符合法律、法规和招标文件规定的其他无效情形。</w:t>
            </w:r>
            <w:r/>
          </w:p>
        </w:tc>
      </w:tr>
    </w:tbl>
    <w:p>
      <w:pPr>
        <w:numPr>
          <w:ilvl w:val="0"/>
          <w:numId w:val="15"/>
        </w:numPr>
        <w:spacing w:line="360" w:lineRule="auto"/>
        <w:tabs>
          <w:tab w:val="left" w:pos="1080" w:leader="none"/>
          <w:tab w:val="left" w:pos="1589" w:leader="none"/>
        </w:tabs>
        <w:rPr>
          <w:rFonts w:hint="eastAsia" w:ascii="宋体" w:hAnsi="宋体" w:eastAsia="宋体" w:cs="宋体"/>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highlight w:val="none"/>
        </w:rPr>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投标文件有关事项的澄清或者说明</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highlight w:val="none"/>
        </w:rPr>
        <w:t xml:space="preserve">无效投标处理</w:t>
      </w:r>
      <w:r>
        <w:rPr>
          <w:rFonts w:hint="eastAsia" w:ascii="宋体" w:hAnsi="宋体" w:eastAsia="宋体" w:cs="宋体"/>
          <w:sz w:val="24"/>
          <w:highlight w:val="none"/>
        </w:rPr>
        <w:t xml:space="preserve">。</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投标文件报价出现前后不一致的，按照下列规定修正：</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w:t>
      </w:r>
      <w:r>
        <w:rPr>
          <w:rFonts w:hint="eastAsia" w:ascii="宋体" w:hAnsi="宋体" w:eastAsia="宋体" w:cs="宋体"/>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■无，按下述2.4.2-2.4.7项规定修正。</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单独递交的开标一览表（报价表）与投标文件中开标一览表（报价表）内容不一致的，以单独递交的开标一览表（报价表）为准；</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投标文件中开标一览表（报价表）内容与投标文件中相应内容不一致的，以开标一览表（报价表）为准；</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大写金额和小写金额不一致的，以大写金额为准；</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单价金额小数点或者百分比有明显错位的，以开标一览表的总价为准，并修改单价；</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总价金额与按单价汇总金额不一致的，以单价金额计算结果为准。</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4"/>
        </w:numPr>
        <w:ind w:left="0" w:firstLine="480"/>
        <w:spacing w:line="360" w:lineRule="auto"/>
        <w:tabs>
          <w:tab w:val="left" w:pos="0" w:leader="none"/>
          <w:tab w:val="left" w:pos="567" w:leader="none"/>
          <w:tab w:val="left" w:pos="1134"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中小企业参加政府采购活动，应当按照招标文件给定的格式出具《中小企业声明函》，否则不得享受相关中小企业扶持政策。</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残疾人福利性单位按招标文件要求提供了《残疾人福利性单位声明函》（见附件）的，视同小微企业。</w:t>
      </w:r>
      <w:r/>
    </w:p>
    <w:p>
      <w:pPr>
        <w:numPr>
          <w:ilvl w:val="2"/>
          <w:numId w:val="14"/>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投标文件的比较和评价</w:t>
      </w:r>
      <w:bookmarkEnd w:id="766"/>
      <w:r/>
      <w:bookmarkEnd w:id="767"/>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□其他方式，具体要求：</w:t>
      </w:r>
      <w:r>
        <w:rPr>
          <w:rFonts w:hint="eastAsia" w:ascii="宋体" w:hAnsi="宋体" w:eastAsia="宋体" w:cs="宋体"/>
          <w:sz w:val="24"/>
          <w:highlight w:val="none"/>
          <w:u w:val="single"/>
        </w:rPr>
        <w:t xml:space="preserve">/</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确定</w:t>
      </w:r>
      <w:bookmarkStart w:id="783" w:name="_Toc226965736"/>
      <w:r/>
      <w:bookmarkStart w:id="784" w:name="_Ref467307010"/>
      <w:r/>
      <w:bookmarkStart w:id="785" w:name="_Toc150774751"/>
      <w:r/>
      <w:bookmarkStart w:id="786" w:name="_Toc226309790"/>
      <w:r/>
      <w:bookmarkStart w:id="787" w:name="_Toc520356170"/>
      <w:r/>
      <w:bookmarkStart w:id="788" w:name="_Toc149720839"/>
      <w:r/>
      <w:bookmarkStart w:id="789" w:name="_Toc305158814"/>
      <w:r/>
      <w:bookmarkStart w:id="790" w:name="_Toc151193644"/>
      <w:r/>
      <w:bookmarkStart w:id="791" w:name="_Toc150774646"/>
      <w:r/>
      <w:bookmarkStart w:id="792" w:name="_Toc164608815"/>
      <w:r/>
      <w:bookmarkStart w:id="793" w:name="_Toc195842911"/>
      <w:r/>
      <w:bookmarkStart w:id="794" w:name="_Toc164351640"/>
      <w:r/>
      <w:bookmarkStart w:id="795" w:name="_Toc226965819"/>
      <w:r/>
      <w:bookmarkStart w:id="796" w:name="_Toc127151546"/>
      <w:r/>
      <w:bookmarkStart w:id="797" w:name="_Toc151193934"/>
      <w:r/>
      <w:bookmarkStart w:id="798" w:name="_Toc264969236"/>
      <w:r/>
      <w:bookmarkStart w:id="799" w:name="_Toc150480784"/>
      <w:r/>
      <w:bookmarkStart w:id="800" w:name="_Toc151193788"/>
      <w:r/>
      <w:bookmarkStart w:id="801" w:name="_Toc305158888"/>
      <w:r/>
      <w:bookmarkStart w:id="802" w:name="_Toc150509297"/>
      <w:r/>
      <w:bookmarkStart w:id="803" w:name="_Toc151193860"/>
      <w:r/>
      <w:bookmarkStart w:id="804" w:name="_Toc164608660"/>
      <w:r/>
      <w:bookmarkStart w:id="805" w:name="_Toc151193716"/>
      <w:r/>
      <w:bookmarkStart w:id="806" w:name="_Toc127161460"/>
      <w:r/>
      <w:bookmarkStart w:id="807" w:name="_Toc127151747"/>
      <w:r/>
      <w:bookmarkStart w:id="808" w:name="_Toc151190173"/>
      <w:r/>
      <w:bookmarkStart w:id="809" w:name="_Toc164229387"/>
      <w:r/>
      <w:bookmarkStart w:id="810" w:name="_Toc142311048"/>
      <w:r/>
      <w:bookmarkStart w:id="811" w:name="_Toc226337242"/>
      <w:r/>
      <w:bookmarkStart w:id="812" w:name="_Toc164229241"/>
      <w:r/>
      <w:bookmarkStart w:id="813" w:name="_Toc265228384"/>
      <w:r>
        <w:rPr>
          <w:rFonts w:hint="eastAsia" w:ascii="宋体" w:hAnsi="宋体" w:eastAsia="宋体" w:cs="宋体"/>
          <w:b/>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76"/>
        <w:ind w:firstLine="480"/>
        <w:spacing w:line="360" w:lineRule="auto"/>
        <w:tabs>
          <w:tab w:val="left" w:pos="0" w:leader="none"/>
          <w:tab w:val="left" w:pos="567"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随机抽取</w:t>
      </w:r>
      <w:r/>
    </w:p>
    <w:p>
      <w:pPr>
        <w:pStyle w:val="1076"/>
        <w:ind w:firstLine="480"/>
        <w:spacing w:line="360" w:lineRule="auto"/>
        <w:tabs>
          <w:tab w:val="left" w:pos="0" w:leader="none"/>
          <w:tab w:val="left" w:pos="567"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□其他方式，具体要求：</w:t>
      </w:r>
      <w:r>
        <w:rPr>
          <w:rFonts w:hint="eastAsia" w:ascii="宋体" w:hAnsi="宋体" w:eastAsia="宋体" w:cs="宋体"/>
          <w:sz w:val="24"/>
          <w:highlight w:val="none"/>
          <w:u w:val="single"/>
        </w:rPr>
        <w:t xml:space="preserve">/</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sz w:val="24"/>
          <w:highlight w:val="none"/>
          <w:lang w:val="en-US" w:eastAsia="zh-CN"/>
        </w:rPr>
        <w:t xml:space="preserve">第一</w:t>
      </w:r>
      <w:r>
        <w:rPr>
          <w:rFonts w:hint="eastAsia" w:ascii="宋体" w:hAnsi="宋体" w:eastAsia="宋体" w:cs="宋体"/>
          <w:sz w:val="24"/>
          <w:highlight w:val="none"/>
        </w:rPr>
        <w:t xml:space="preserve">的投标人为中标候选人。评分分值计算保留小数点后两位，第三位四舍五入。</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报告违法行为</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eastAsia="宋体" w:cs="宋体"/>
          <w:b/>
          <w:sz w:val="24"/>
          <w:highlight w:val="none"/>
        </w:rPr>
      </w:pPr>
      <w:r>
        <w:rPr>
          <w:rFonts w:hint="eastAsia" w:ascii="宋体" w:hAnsi="宋体" w:eastAsia="宋体" w:cs="宋体"/>
          <w:b/>
          <w:sz w:val="24"/>
          <w:highlight w:val="none"/>
        </w:rPr>
        <w:br w:type="page" w:clear="all"/>
      </w:r>
      <w:r/>
    </w:p>
    <w:p>
      <w:pPr>
        <w:jc w:val="center"/>
        <w:spacing w:line="360" w:lineRule="auto"/>
        <w:tabs>
          <w:tab w:val="left" w:pos="360" w:leader="none"/>
          <w:tab w:val="left" w:pos="900" w:leader="none"/>
        </w:tabs>
        <w:rPr>
          <w:rFonts w:hint="eastAsia" w:ascii="宋体" w:hAnsi="宋体" w:eastAsia="宋体" w:cs="宋体"/>
          <w:b/>
          <w:highlight w:val="none"/>
          <w:lang w:eastAsia="zh-CN"/>
        </w:rPr>
        <w:outlineLvl w:val="1"/>
      </w:pPr>
      <w:r/>
      <w:bookmarkStart w:id="814" w:name="_Toc99301425"/>
      <w:r>
        <w:rPr>
          <w:rFonts w:hint="eastAsia" w:ascii="宋体" w:hAnsi="宋体" w:eastAsia="宋体" w:cs="宋体"/>
          <w:b/>
          <w:sz w:val="24"/>
          <w:highlight w:val="none"/>
        </w:rPr>
        <w:t xml:space="preserve">二、评标标准</w:t>
      </w:r>
      <w:r/>
    </w:p>
    <w:tbl>
      <w:tblPr>
        <w:tblStyle w:val="8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10"/>
        <w:gridCol w:w="880"/>
        <w:gridCol w:w="3837"/>
        <w:gridCol w:w="2353"/>
      </w:tblGrid>
      <w:tr>
        <w:trPr/>
        <w:tc>
          <w:tcPr>
            <w:tcW w:w="433"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758"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评分因素</w:t>
            </w:r>
            <w:r/>
          </w:p>
        </w:tc>
        <w:tc>
          <w:tcPr>
            <w:tcW w:w="474"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W w:w="2066"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评分标准</w:t>
            </w:r>
            <w:r/>
          </w:p>
        </w:tc>
        <w:tc>
          <w:tcPr>
            <w:tcW w:w="1267" w:type="pct"/>
            <w:vAlign w:val="center"/>
            <w:textDirection w:val="lrTb"/>
            <w:noWrap w:val="false"/>
          </w:tcPr>
          <w:p>
            <w:pPr>
              <w:pStyle w:val="1281"/>
              <w:spacing w:before="0" w:after="0"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631"/>
        </w:trPr>
        <w:tc>
          <w:tcPr>
            <w:tcW w:w="433"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满足招标文件要求且投标价格最低的投标报价为评标基准价，其价格分为满分。其他投标人的价格分统一按照下列公式计算：</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投标报价得分＝（评标基准价/投标报价）×分值。</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此处投标报价指经过报价修正，及因落实政府采购政策进行价格调整后的报价，详见第三章《评标方法和评标标准》2.4及2.5。</w:t>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主观分</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服务团队方案</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结合本招标文件采购需求组建日常服务团队。</w:t>
            </w:r>
            <w:r/>
          </w:p>
          <w:p>
            <w:pPr>
              <w:ind w:firstLine="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相关分析指标包括：承保环节负责人及理赔环节负责人；成员项目经验，服务团队职责明晰；提供投诉监督方式；利用经营网点配合团队提供服务等内容</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方案符合采购需求、团队建设合理、可操作性强的，得6分；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方案较符合采购需求、团队建设较合理、有一定可操作性的得4分；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方案与采购需求有差异、团队建设不尽合理、可操作性一般的，得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未提供方案的不得分。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承保服务方案</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结合本招标文件采购需求，制定合理内部承保方案</w:t>
            </w:r>
            <w:r>
              <w:rPr>
                <w:rFonts w:hint="eastAsia" w:ascii="宋体" w:hAnsi="宋体" w:eastAsia="宋体" w:cs="宋体"/>
                <w:color w:val="auto"/>
                <w:sz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相关分析指标包括：依法合规核保；准确及时出单；投保服务便捷、高效等内容。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方案符合采购需求、设计合理、可操作性强的，得8分；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方案较符合采购需求、设计较合理、有一定可操作性的，得5分；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理赔服务方案</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结合本招标文件采购需求，提供高效理赔服务。</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相关分析指标包括：理赔服务流程；限时支付承诺；持续完善的措施等内容。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方案符合采购需求、设计合理、可操作性强的，得8分；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方案较符合采购需求、设计较合理、有一定可操作性的，得5分；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重大、疑难案件服务方案</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投标人根据自身对项目的理解设计重大、疑难案件服务方案（重大、疑难案件指赔偿金额30万以上或在媒体、人群等公众舆论面等播撒或责任界定困难的案件）。</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服务方案针对性、完善性、科学性、可行性强的，得6分；                                        </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方案完善性、科学性、可行性一般的，得4分；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方案不完整、针对性、科学性、可行性欠缺的，得2分；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项目管理方案</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结合本招标文件采购需求，制定合理方案，配合采购人做好各项日常管理。 </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配合采购人、采购人委托的第三方保险经纪公司做好各项日常监督管理；向采购人委托的第三方保险经纪公司提供本项目各类数据，包括但不仅限于接报案明细、结案明细表；每年配合采购人进行绩效考评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方案符合采购需求、设计合理、可操作性强的，得5分；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方案较符合采购需求、设计较合理、有一定可操作性的，得3分；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方案与采购需求有差异、设计不尽合理、可操作性一般的，得1分；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增值方案</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根据各投标人提供的扩展增值方案从对增值内容的合理性、实用性、对本项目的针对性、实际操作性进行综合比较： </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方案符合采购需求、设计合理、实用性强、有针对性强、可操作性强的，得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方案较符合采购需求、设计较合理、有一定实用性、有一定针对性、有一定可操作性的，得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未提供增值方案的不得分。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2.7</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合同履约</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根据《常州市政府采购供应商信用管理暂行办法》（常财规〔2017〕6号）第5条“供应商在参与政府采购活动中有下列情形之一的，属于失信行为: 第（十三）拒绝履行合同义务的; 第（十四）未按合同规定履行合同义务，造成不良后果的”及相关失信记录、惩戒规定，结合本保险项目的特殊情况，对诚信履约主要包括但不限于如何做到应赔尽赔，发生拖赔惜赔等违约情况后的处罚措施，进行全面阐述并做相关承诺的得4分</w:t>
            </w:r>
            <w:r>
              <w:rPr>
                <w:rFonts w:hint="eastAsia" w:ascii="宋体" w:hAnsi="宋体" w:eastAsia="宋体" w:cs="宋体"/>
                <w:color w:val="auto"/>
                <w:sz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阐述或承诺较全面的得2.5分</w:t>
            </w:r>
            <w:r>
              <w:rPr>
                <w:rFonts w:hint="eastAsia" w:ascii="宋体" w:hAnsi="宋体" w:eastAsia="宋体" w:cs="宋体"/>
                <w:color w:val="auto"/>
                <w:sz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阐述或承诺不全面的得1分</w:t>
            </w:r>
            <w:r>
              <w:rPr>
                <w:rFonts w:hint="eastAsia" w:ascii="宋体" w:hAnsi="宋体" w:eastAsia="宋体" w:cs="宋体"/>
                <w:color w:val="auto"/>
                <w:sz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未阐述和承诺的不得分。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客观分</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47</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体系认证</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投标人所属总公司具有有效的质量管理体系、环境管理体系、信息安全管理体系认证证书的，每提供一项证书得1分，最高得3分。</w:t>
            </w:r>
            <w:r/>
          </w:p>
        </w:tc>
        <w:tc>
          <w:tcPr>
            <w:tcW w:w="1267" w:type="pct"/>
            <w:vAlign w:val="center"/>
            <w:textDirection w:val="lrTb"/>
            <w:noWrap w:val="false"/>
          </w:tcPr>
          <w:p>
            <w:pPr>
              <w:ind w:left="-38"/>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提供证书扫描件。</w:t>
            </w:r>
            <w:r/>
          </w:p>
        </w:tc>
      </w:tr>
      <w:tr>
        <w:trPr/>
        <w:tc>
          <w:tcPr>
            <w:tcBorders>
              <w:left w:val="single" w:color="auto" w:sz="4" w:space="0"/>
              <w:bottom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c>
          <w:tcPr>
            <w:tcBorders>
              <w:bottom w:val="single" w:color="auto" w:sz="4" w:space="0"/>
            </w:tcBorders>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风险综合评级</w:t>
            </w:r>
            <w:r/>
          </w:p>
        </w:tc>
        <w:tc>
          <w:tcPr>
            <w:tcBorders>
              <w:bottom w:val="single" w:color="auto" w:sz="4" w:space="0"/>
            </w:tcBorders>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bottom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所属</w:t>
            </w:r>
            <w:r>
              <w:rPr>
                <w:rFonts w:hint="eastAsia" w:ascii="宋体" w:hAnsi="宋体" w:eastAsia="宋体" w:cs="宋体"/>
                <w:color w:val="auto"/>
                <w:sz w:val="24"/>
                <w:highlight w:val="none"/>
              </w:rPr>
              <w:t xml:space="preserve">总公司风险评级：</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根据各投标人总公司2025年第三季度偿付能力报告摘要中最近季度风险综合评级进行评分：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风险综合评级达到AAA类得8分，AA类得6分，A类得4分，BBB类得2分，BB类及以下不得分。 </w:t>
            </w:r>
            <w:r/>
          </w:p>
        </w:tc>
        <w:tc>
          <w:tcPr>
            <w:tcBorders>
              <w:bottom w:val="single" w:color="auto" w:sz="4" w:space="0"/>
              <w:right w:val="single" w:color="auto" w:sz="4" w:space="0"/>
            </w:tcBorders>
            <w:tcW w:w="1267" w:type="pct"/>
            <w:vAlign w:val="center"/>
            <w:textDirection w:val="lrTb"/>
            <w:noWrap w:val="false"/>
          </w:tcPr>
          <w:p>
            <w:pPr>
              <w:ind w:left="-38"/>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提供中国保险行业协会官网信息披露栏中2025年第三季度偿付能力报告摘要扫描件或复印件。</w:t>
            </w:r>
            <w:r/>
          </w:p>
        </w:tc>
      </w:tr>
      <w:tr>
        <w:trPr/>
        <w:tc>
          <w:tcPr>
            <w:tcBorders>
              <w:top w:val="single" w:color="auto" w:sz="4" w:space="0"/>
              <w:left w:val="single" w:color="auto" w:sz="4" w:space="0"/>
              <w:bottom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3.3</w:t>
            </w:r>
            <w:r/>
          </w:p>
        </w:tc>
        <w:tc>
          <w:tcPr>
            <w:tcBorders>
              <w:top w:val="single" w:color="auto" w:sz="4" w:space="0"/>
              <w:bottom w:val="single" w:color="auto" w:sz="4" w:space="0"/>
            </w:tcBorders>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综合偿付能力</w:t>
            </w:r>
            <w:r/>
          </w:p>
        </w:tc>
        <w:tc>
          <w:tcPr>
            <w:tcBorders>
              <w:top w:val="single" w:color="auto" w:sz="4" w:space="0"/>
              <w:bottom w:val="single" w:color="auto" w:sz="4" w:space="0"/>
            </w:tcBorders>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4" w:space="0"/>
              <w:bottom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投标人所属总公司综合偿付能力：</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根据2025年第三季度各供应商总公司综合偿付能力充足率进行评分：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综合偿付能力充足率≥250%，得8分；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250%＞综合偿付能力充足率≥200%，得5分；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200%＞综合偿付能力充足率≥150%，得2分；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150%＞综合偿付能力充足率的不得分。</w:t>
            </w:r>
            <w:r/>
          </w:p>
        </w:tc>
        <w:tc>
          <w:tcPr>
            <w:tcBorders>
              <w:top w:val="single" w:color="auto" w:sz="4" w:space="0"/>
              <w:bottom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提供中国保险行业协会官网信息披露栏中2025年第三季度偿付能力报告摘要扫描件或复印件。</w:t>
            </w:r>
            <w:r/>
          </w:p>
        </w:tc>
      </w:tr>
      <w:tr>
        <w:trPr/>
        <w:tc>
          <w:tcPr>
            <w:tcBorders>
              <w:top w:val="single" w:color="auto" w:sz="4" w:space="0"/>
              <w:left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3.4</w:t>
            </w:r>
            <w:r/>
          </w:p>
        </w:tc>
        <w:tc>
          <w:tcPr>
            <w:tcBorders>
              <w:top w:val="single" w:color="auto" w:sz="4" w:space="0"/>
            </w:tcBorders>
            <w:tcW w:w="758"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投标人或其当地的分支机构2022年1月1日以来类似险种的承保经验</w:t>
            </w:r>
            <w:r/>
          </w:p>
        </w:tc>
        <w:tc>
          <w:tcPr>
            <w:tcBorders>
              <w:top w:val="single" w:color="auto" w:sz="4" w:space="0"/>
            </w:tcBorders>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有财产综合险业务的，每有一单得1分，最高得2分；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有机器损坏险业务的，每有一单得1分，最高得2分；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有医疗责任保险业务的，每有一单得1分，最高得6分；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本项最高得10分。</w:t>
            </w:r>
            <w:r/>
          </w:p>
        </w:tc>
        <w:tc>
          <w:tcPr>
            <w:tcBorders>
              <w:top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提供2022年1月1日以来的保险合同或保单的扫描件。</w:t>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3.5</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投标人或其当地的分支机构2022年1月1日以来机关事业单位项目承保经验</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2022年1月1日以来机关事业单位项目承保经验，每有一项得2分，本项最高得8分。</w:t>
            </w:r>
            <w:r>
              <w:rPr>
                <w:rFonts w:hint="eastAsia" w:ascii="宋体" w:hAnsi="宋体" w:eastAsia="宋体" w:cs="宋体"/>
                <w:b/>
                <w:bCs/>
                <w:color w:val="auto"/>
                <w:sz w:val="24"/>
                <w:highlight w:val="none"/>
              </w:rPr>
              <w:t xml:space="preserve">此项目不得与上一条“类似险种的承保经验”重复。</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提供2022年1月1日以来的保险合同或保险单扫描件（同一项目不同年度算一个业绩）。</w:t>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w:t>
            </w:r>
            <w:r/>
          </w:p>
        </w:tc>
        <w:tc>
          <w:tcPr>
            <w:tcW w:w="758" w:type="pct"/>
            <w:vAlign w:val="center"/>
            <w:vMerge w:val="restart"/>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服务保障能力</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电话服务保障：</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1、投标人具有7*24小时电话服务的能力，具备一条服务专线的得2分。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2、承诺中标30日内为本项目开设专属7*24服务电话的得1分。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本项目最高2分。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提供与运营公司签订的协议或其他证明材料复印件或承诺函加盖公章。</w:t>
            </w:r>
            <w:r/>
          </w:p>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投标人以分公司名义投标的，认可其总公司电话服务保障能力。未提供的或资料不全的或无效的不得分。</w:t>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758" w:type="pct"/>
            <w:vAlign w:val="center"/>
            <w:vMerge w:val="continue"/>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服务网点保障：</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1.投标人在项目所在地设有服务网点得2分。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2.承诺中标30日内在项目所在地设置服务网点的得1分。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本项目最高2分。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所设网点有效的营业执照和保险业务许可证原件扫描件或承诺函加盖公章，未提供的或资料不全的或无效的不得分。</w:t>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w:t>
            </w:r>
            <w:r/>
          </w:p>
        </w:tc>
        <w:tc>
          <w:tcPr>
            <w:tcW w:w="758"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拟派项目负责人，50周岁以内，（须为投标单位正式职工） </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（1）具有本科或以上学历得2分。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（2）具有中级及以上职称的得2分。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（3）具备5年（含）以上保险从业经历的得2分。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本项目最高6分。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提供证书扫描件、加盖</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单位公章的保险从业经历证明材料扫描件，并提供投标人2025年8月-2025年10月为其缴纳的社保证明否则不得分。未按要求提供不得分。</w:t>
            </w:r>
            <w:r/>
          </w:p>
        </w:tc>
      </w:tr>
      <w:tr>
        <w:trPr/>
        <w:tc>
          <w:tcPr>
            <w:gridSpan w:val="2"/>
            <w:tcW w:w="1192"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W w:w="474"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gridSpan w:val="2"/>
            <w:tcW w:w="333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第五章   采购需求</w:t>
      </w:r>
      <w:r/>
    </w:p>
    <w:p>
      <w:pPr>
        <w:pStyle w:val="1131"/>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项目背景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为构建和谐医患关系，创建“平安医院”，进一步建立完善医疗风险分担机制和医疗纠纷一体化处理模式，</w:t>
      </w:r>
      <w:r>
        <w:rPr>
          <w:rFonts w:hint="eastAsia" w:ascii="宋体" w:hAnsi="宋体" w:cs="宋体"/>
          <w:color w:val="000000"/>
          <w:sz w:val="24"/>
          <w:szCs w:val="24"/>
          <w:highlight w:val="none"/>
          <w:lang w:val="en-US" w:eastAsia="zh-CN"/>
        </w:rPr>
        <w:t xml:space="preserve">拟采购</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2027</w:t>
      </w:r>
      <w:r>
        <w:rPr>
          <w:rFonts w:hint="eastAsia" w:ascii="宋体" w:hAnsi="宋体" w:eastAsia="宋体" w:cs="宋体"/>
          <w:color w:val="000000"/>
          <w:sz w:val="24"/>
          <w:szCs w:val="24"/>
          <w:highlight w:val="none"/>
        </w:rPr>
        <w:t xml:space="preserve">年度</w:t>
      </w:r>
      <w:r>
        <w:rPr>
          <w:rFonts w:hint="eastAsia" w:ascii="宋体" w:hAnsi="宋体" w:eastAsia="宋体" w:cs="宋体"/>
          <w:color w:val="000000"/>
          <w:sz w:val="24"/>
          <w:szCs w:val="24"/>
          <w:highlight w:val="none"/>
          <w:lang w:eastAsia="zh-CN"/>
        </w:rPr>
        <w:t xml:space="preserve">常州市第三人民医院</w:t>
      </w:r>
      <w:r>
        <w:rPr>
          <w:rFonts w:hint="eastAsia" w:ascii="宋体" w:hAnsi="宋体" w:eastAsia="宋体" w:cs="宋体"/>
          <w:sz w:val="24"/>
          <w:szCs w:val="24"/>
          <w:highlight w:val="none"/>
        </w:rPr>
        <w:t xml:space="preserve">医疗责任险、财产险项目</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本项目由采购人委托的第三方保险经纪公司制定详细实施方案并经采购人确认后负责具体实施。 </w:t>
      </w:r>
      <w:r/>
    </w:p>
    <w:p>
      <w:pPr>
        <w:pStyle w:val="1131"/>
        <w:numPr>
          <w:ilvl w:val="0"/>
          <w:numId w:val="0"/>
        </w:numPr>
        <w:contextualSpacing/>
        <w:ind w:left="-2" w:firstLine="482"/>
        <w:spacing w:line="360" w:lineRule="auto"/>
        <w:tabs>
          <w:tab w:val="left" w:pos="567" w:leader="none"/>
        </w:tabs>
        <w:rPr>
          <w:rFonts w:ascii="宋体" w:hAnsi="宋体"/>
          <w:b/>
          <w:color w:val="000000"/>
          <w:sz w:val="24"/>
          <w:szCs w:val="24"/>
          <w:highlight w:val="none"/>
          <w:lang w:val="en-US"/>
        </w:rPr>
      </w:pPr>
      <w:r>
        <w:rPr>
          <w:rFonts w:ascii="宋体" w:hAnsi="宋体"/>
          <w:b/>
          <w:color w:val="000000"/>
          <w:sz w:val="24"/>
          <w:szCs w:val="24"/>
          <w:highlight w:val="none"/>
          <w:lang w:val="en-US" w:eastAsia="zh-CN" w:bidi="ar-SA"/>
        </w:rPr>
        <w:t xml:space="preserve">二、</w:t>
      </w:r>
      <w:r>
        <w:rPr>
          <w:rFonts w:hint="eastAsia" w:ascii="宋体" w:hAnsi="宋体"/>
          <w:b/>
          <w:color w:val="000000"/>
          <w:sz w:val="24"/>
          <w:szCs w:val="24"/>
          <w:highlight w:val="none"/>
          <w:lang w:val="en-US" w:eastAsia="zh-CN"/>
        </w:rPr>
        <w:t xml:space="preserve">项目内容及要求</w:t>
      </w:r>
      <w:r/>
    </w:p>
    <w:p>
      <w:pPr>
        <w:ind w:right="210" w:firstLine="488"/>
        <w:spacing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1.中标保险人在本项目承保理赔工作中，严格遵守国家法律法规、行业监管规定，廉洁自律、依法合规经营。</w:t>
      </w:r>
      <w:r/>
    </w:p>
    <w:p>
      <w:pPr>
        <w:ind w:left="-4" w:firstLine="428"/>
        <w:spacing w:line="360" w:lineRule="auto"/>
        <w:rPr>
          <w:rFonts w:hint="eastAsia" w:ascii="宋体" w:hAnsi="宋体" w:eastAsia="宋体" w:cs="宋体"/>
          <w:b/>
          <w:bCs/>
          <w:color w:val="000000"/>
          <w:spacing w:val="2"/>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2.</w:t>
      </w:r>
      <w:r>
        <w:rPr>
          <w:rFonts w:hint="eastAsia" w:ascii="宋体" w:hAnsi="宋体" w:eastAsia="宋体" w:cs="宋体"/>
          <w:b/>
          <w:bCs/>
          <w:color w:val="000000"/>
          <w:spacing w:val="2"/>
          <w:sz w:val="24"/>
          <w:szCs w:val="24"/>
          <w:highlight w:val="none"/>
        </w:rPr>
        <w:t xml:space="preserve">投标文件中医疗责任保险（附加医疗机构场所责任险、附加医务人员遭受伤害责任保险）、财产险（包括财产综合险、机器设备损坏险）的保险条款及费率，在中标后30日内向国家金融监督管理总局（原中国银行保险监督管理委员会）报备。</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p>
    <w:p>
      <w:pPr>
        <w:ind w:left="-4" w:firstLine="428"/>
        <w:spacing w:line="360" w:lineRule="auto"/>
        <w:rPr>
          <w:rFonts w:hint="eastAsia" w:ascii="宋体" w:hAnsi="宋体" w:eastAsia="宋体" w:cs="宋体"/>
          <w:b/>
          <w:bCs/>
          <w:color w:val="000000"/>
          <w:spacing w:val="2"/>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3.本保险项目所涉保险责任自2025年04月23日零时起，自上述期限起发生合同约定的符合采购需求的保险事故均由承保保险公司承担理赔责任。</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lang w:val="en-US" w:eastAsia="zh-CN"/>
        </w:rPr>
        <w:t xml:space="preserve">保单应按年度签订。对中途投保不足一年的，应按实际投保天数计算（日保费=年保险费÷365天）。</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4</w:t>
      </w:r>
      <w:r>
        <w:rPr>
          <w:rFonts w:hint="eastAsia" w:ascii="宋体" w:hAnsi="宋体" w:eastAsia="宋体" w:cs="宋体"/>
          <w:spacing w:val="2"/>
          <w:sz w:val="24"/>
          <w:szCs w:val="24"/>
          <w:highlight w:val="none"/>
        </w:rPr>
        <w:t xml:space="preserve">.投保服务</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采购人委托的第三方保险经纪公司上门收集投保人相关投保资料，</w:t>
      </w:r>
      <w:r>
        <w:rPr>
          <w:rFonts w:hint="eastAsia" w:ascii="宋体" w:hAnsi="宋体" w:eastAsia="宋体" w:cs="宋体"/>
          <w:color w:val="000000"/>
          <w:spacing w:val="2"/>
          <w:sz w:val="24"/>
          <w:szCs w:val="24"/>
          <w:highlight w:val="none"/>
        </w:rPr>
        <w:t xml:space="preserve">保险人</w:t>
      </w:r>
      <w:r>
        <w:rPr>
          <w:rFonts w:hint="eastAsia" w:ascii="宋体" w:hAnsi="宋体" w:eastAsia="宋体" w:cs="宋体"/>
          <w:spacing w:val="2"/>
          <w:sz w:val="24"/>
          <w:szCs w:val="24"/>
          <w:highlight w:val="none"/>
        </w:rPr>
        <w:t xml:space="preserve">在收到完整投保资料后5个工作日内完成核保、出具保单、发票（或缴费通知书）。采购人委托的第三方保险经纪公司上门将保险单正本件、保费票据及时交给投保人。</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.理赔服务</w:t>
      </w:r>
      <w:r/>
    </w:p>
    <w:p>
      <w:pPr>
        <w:ind w:firstLine="488"/>
        <w:spacing w:line="360" w:lineRule="auto"/>
        <w:rPr>
          <w:rFonts w:hint="eastAsia" w:ascii="宋体" w:hAnsi="宋体" w:eastAsia="宋体" w:cs="宋体"/>
          <w:color w:val="000000"/>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.1  发生保险事故后，</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1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①</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被保险人及时向采购人委托的第三方保险经纪公司报案；</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2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②</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采购人委托的第三方保险经纪公司及时将相关被保险人的理赔申请材料送达保险人；</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3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③</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保险人在收到案件理赔申请后，根据条款及相关特别约定，</w:t>
      </w:r>
      <w:r>
        <w:rPr>
          <w:rFonts w:hint="eastAsia" w:ascii="宋体" w:hAnsi="宋体" w:eastAsia="宋体" w:cs="宋体"/>
          <w:spacing w:val="2"/>
          <w:sz w:val="24"/>
          <w:szCs w:val="24"/>
          <w:highlight w:val="none"/>
        </w:rPr>
        <w:t xml:space="preserve">按其工作流程审核相关材料并在特别约定的时限内提出处理意见，材料齐全后</w:t>
      </w:r>
      <w:r>
        <w:rPr>
          <w:rFonts w:hint="eastAsia" w:ascii="宋体" w:hAnsi="宋体" w:eastAsia="宋体" w:cs="宋体"/>
          <w:color w:val="000000"/>
          <w:spacing w:val="2"/>
          <w:sz w:val="24"/>
          <w:szCs w:val="24"/>
          <w:highlight w:val="none"/>
        </w:rPr>
        <w:t xml:space="preserve">及时结案并足额理赔；④保险人在完成每个理赔案例后5个工作日内，将赔付款项的付款凭证（如：银行出具的汇款凭证）提交给被保险人，由被保险人存档以备查。</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.2  除非有合理和足够的证据证明，保险人不得以任何理由推卸、拖延甚至拒绝被保险人索赔的要求，否则其行为构成违约，并须承担违约责任。保险人未按特别约定相关条款的要求完成赔付的，在减去约定结案天数后按赔偿金额的0.657‰/日×实际滞纳天数计算滞纳金赔付给被保险人，并承担由此造成的其他损失。</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.3  若因工程施工、抢险需要或者因诊疗、抢救病人的机器设备急需立即维修，导致被保险人因特殊情况无法报案或无法及时报案，有材料证明事故属于本保险项目保障范围的，保险人应当正常理赔。</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.4  被保险人应尽可能为保险人、公估人调查和取证工作保留事故现场；对无法留待保险人、公估人查勘的事故现场，被保险人应尽可能留下照片、录像、文字记录供保险人审核之用。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.监督管理</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.1  为了整个承保机制顺利运行，中标保险人必须定期与采购人委托的第三方保险经纪公司汇总项目运行情况（包括但不仅限于报案、查勘、理赔等）。中标保险人于每月5日将上月结案明细以邮件形式发送给采购人委托的第三方保险经纪公司。按照规定提交各类报表、案件汇总、支付赔款凭证等，协助采购人委托的第三方保险经纪公司做好各项工作。</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.2  保险人在合同有效期内，应接受采购人和采购人委托的第三方保险经纪公司的监督管理。中标保险人非因不可抗力未履行招标文件、投标文件和合同规定的义务，一经查实，采购人将根据《常州市政府采购供应商信用管理暂行办法》（常财规〔2017〕6号）相关规定报请财政部门按照规定予以中标人行政处罚或失信记录。造成采购人或投保人损失的将启动诉讼程序，要求中标保险人承担相关损失赔偿责任。</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7</w:t>
      </w:r>
      <w:r>
        <w:rPr>
          <w:rFonts w:hint="eastAsia" w:ascii="宋体" w:hAnsi="宋体" w:eastAsia="宋体" w:cs="宋体"/>
          <w:spacing w:val="2"/>
          <w:sz w:val="24"/>
          <w:szCs w:val="24"/>
          <w:highlight w:val="none"/>
        </w:rPr>
        <w:t xml:space="preserve">.保险经纪服务</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保险经纪服务费由</w:t>
      </w:r>
      <w:r>
        <w:rPr>
          <w:rFonts w:hint="eastAsia" w:ascii="宋体" w:hAnsi="宋体" w:eastAsia="宋体" w:cs="宋体"/>
          <w:spacing w:val="2"/>
          <w:sz w:val="24"/>
          <w:szCs w:val="24"/>
          <w:highlight w:val="none"/>
          <w:lang w:val="en-US" w:eastAsia="zh-CN"/>
        </w:rPr>
        <w:t xml:space="preserve">成交供应商</w:t>
      </w:r>
      <w:r>
        <w:rPr>
          <w:rFonts w:hint="eastAsia" w:ascii="宋体" w:hAnsi="宋体" w:eastAsia="宋体" w:cs="宋体"/>
          <w:spacing w:val="2"/>
          <w:sz w:val="24"/>
          <w:szCs w:val="24"/>
          <w:highlight w:val="none"/>
        </w:rPr>
        <w:t xml:space="preserve">每年按医责险</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财产险</w:t>
      </w:r>
      <w:r>
        <w:rPr>
          <w:rFonts w:hint="eastAsia" w:ascii="宋体" w:hAnsi="宋体" w:eastAsia="宋体" w:cs="宋体"/>
          <w:spacing w:val="2"/>
          <w:sz w:val="24"/>
          <w:szCs w:val="24"/>
          <w:highlight w:val="none"/>
        </w:rPr>
        <w:t xml:space="preserve">含税保费的</w:t>
      </w:r>
      <w:r>
        <w:rPr>
          <w:rFonts w:hint="eastAsia" w:ascii="宋体" w:hAnsi="宋体" w:eastAsia="宋体" w:cs="宋体"/>
          <w:spacing w:val="2"/>
          <w:sz w:val="24"/>
          <w:szCs w:val="24"/>
          <w:highlight w:val="none"/>
          <w:lang w:val="en-US" w:eastAsia="zh-CN"/>
        </w:rPr>
        <w:t xml:space="preserve">7.8</w:t>
      </w:r>
      <w:r>
        <w:rPr>
          <w:rFonts w:hint="eastAsia" w:ascii="宋体" w:hAnsi="宋体" w:eastAsia="宋体" w:cs="宋体"/>
          <w:spacing w:val="2"/>
          <w:sz w:val="24"/>
          <w:szCs w:val="24"/>
          <w:highlight w:val="none"/>
        </w:rPr>
        <w:t xml:space="preserve">%支付，采购人委托的第三方保险经纪公司全额出具发票。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成交供应商在收到经纪公司开具的发票后，10个工作日内支付相关费用，保险人超时未支付的，按照发票</w:t>
      </w:r>
      <w:r>
        <w:rPr>
          <w:rFonts w:hint="eastAsia" w:ascii="宋体" w:hAnsi="宋体" w:eastAsia="宋体" w:cs="宋体"/>
          <w:spacing w:val="2"/>
          <w:sz w:val="24"/>
          <w:szCs w:val="24"/>
          <w:highlight w:val="none"/>
        </w:rPr>
        <w:t xml:space="preserve">金额的0.657‰/日×实际滞纳天数计算滞纳金赔付给</w:t>
      </w:r>
      <w:r>
        <w:rPr>
          <w:rFonts w:hint="eastAsia" w:ascii="宋体" w:hAnsi="宋体" w:eastAsia="宋体" w:cs="宋体"/>
          <w:spacing w:val="2"/>
          <w:sz w:val="24"/>
          <w:szCs w:val="24"/>
          <w:highlight w:val="none"/>
          <w:lang w:val="en-US" w:eastAsia="zh-CN"/>
        </w:rPr>
        <w:t xml:space="preserve">保险经纪公司。若因保险公司逾期付款引发诉讼，案件受理费、保全费、合理的律师费等 “法律费用” 由保险公司承担。</w:t>
      </w:r>
      <w:r/>
    </w:p>
    <w:p>
      <w:pPr>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（二）关于合同</w:t>
      </w:r>
      <w:r/>
    </w:p>
    <w:p>
      <w:pPr>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1.采购合同。中标人应在中标通知书发出之日起30天内与采购人签署采购合同。招标文件、中标人的投标文件及招标过程中有关澄清、承诺文件均应构成合同的组成部分。</w:t>
      </w:r>
      <w:r/>
    </w:p>
    <w:p>
      <w:pPr>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保险合同。投保人与保险人签订保险合同。保险单、批单、会议纪要和双方往来函电等构成保险合同，构成保险合同的所有文件被认为是一个整体。如条文含义不明确时，按保险法有关规定办理。当出现矛盾时，以本招标文件、投标文件及采购合同为准。</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3.采购人、投保人委托</w:t>
      </w:r>
      <w:r>
        <w:rPr>
          <w:rFonts w:hint="eastAsia" w:ascii="宋体" w:hAnsi="宋体" w:eastAsia="宋体" w:cs="宋体"/>
          <w:color w:val="000000"/>
          <w:spacing w:val="2"/>
          <w:sz w:val="24"/>
          <w:szCs w:val="24"/>
          <w:highlight w:val="none"/>
        </w:rPr>
        <w:t xml:space="preserve">采购人委托的第三方保险经纪公司</w:t>
      </w:r>
      <w:r>
        <w:rPr>
          <w:rFonts w:hint="eastAsia" w:ascii="宋体" w:hAnsi="宋体" w:eastAsia="宋体" w:cs="宋体"/>
          <w:spacing w:val="2"/>
          <w:sz w:val="24"/>
          <w:szCs w:val="24"/>
          <w:highlight w:val="none"/>
        </w:rPr>
        <w:t xml:space="preserve">对中标保险公司的合同履行情况进行监督。对中标保险公司非因不可抗力未履行招标文件、投标文件和合同规定的义务，一经查实，采购人委托的第三方保险经纪公司将根据具体情况提请采购人做出相应处理，或启动诉讼追究中标保险公司承担相关损失赔偿责任（包括但不仅限于律师费）。</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（三）保密约定</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何一方对其获知的本合同涉及的所有有形、无形的信息及资料（包括但不仅限于中标保险公司及投保人的往来书面文字文件、电子邮件及信息、电子资料、保险合同、保险费率、保险方案、理赔数据材料等）中另一方的商业秘密负有保密义务。</w:t>
      </w:r>
      <w:r/>
    </w:p>
    <w:p>
      <w:pPr>
        <w:ind w:right="210" w:firstLine="42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6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（四）争议解决方式</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有关本协议的争议应通过友好协商解决。如果协商不成，依法向采购人住所地人民法院提起诉讼。</w:t>
      </w:r>
      <w:r/>
    </w:p>
    <w:p>
      <w:pPr>
        <w:ind w:firstLine="560"/>
        <w:spacing w:line="44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（五）</w:t>
      </w:r>
      <w:r>
        <w:rPr>
          <w:rFonts w:hint="eastAsia" w:ascii="宋体" w:hAnsi="宋体" w:eastAsia="宋体" w:cs="宋体"/>
          <w:sz w:val="28"/>
          <w:szCs w:val="28"/>
          <w:highlight w:val="none"/>
        </w:rPr>
        <w:t xml:space="preserve">★主要承保条件</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投标人承诺完全响应主要承保条件，格式自拟</w:t>
      </w:r>
      <w:r>
        <w:rPr>
          <w:rFonts w:hint="eastAsia" w:ascii="宋体" w:hAnsi="宋体" w:eastAsia="宋体" w:cs="宋体"/>
          <w:sz w:val="28"/>
          <w:szCs w:val="28"/>
          <w:highlight w:val="none"/>
          <w:lang w:eastAsia="zh-CN"/>
        </w:rPr>
        <w:t xml:space="preserve">）</w:t>
      </w:r>
      <w:r/>
    </w:p>
    <w:p>
      <w:pPr>
        <w:ind w:firstLine="56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（Ⅰ）医疗机构医疗责任险（附加医疗机构场所责任险、医务人员遭受伤害责任保险）项目</w:t>
      </w:r>
      <w:r/>
    </w:p>
    <w:p>
      <w:pPr>
        <w:pStyle w:val="1290"/>
        <w:ind w:firstLine="643"/>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1．医疗责任保险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投保人：</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被保险人：</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right="211" w:firstLine="420"/>
        <w:spacing w:line="4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1.3  保险期限：202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年04月23日零时—</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按年度出单。</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追溯期</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本保险为期内索赔，追溯期为5年。</w:t>
      </w:r>
      <w:r/>
    </w:p>
    <w:p>
      <w:pPr>
        <w:ind w:right="211" w:firstLine="42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首年</w:t>
      </w:r>
      <w:r>
        <w:rPr>
          <w:rFonts w:hint="eastAsia" w:ascii="宋体" w:hAnsi="宋体" w:eastAsia="宋体" w:cs="宋体"/>
          <w:sz w:val="24"/>
          <w:szCs w:val="24"/>
          <w:highlight w:val="none"/>
        </w:rPr>
        <w:t xml:space="preserve">追溯期自20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年4月23日零时起至202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年4月22日二十四时止</w:t>
      </w:r>
      <w:r>
        <w:rPr>
          <w:rFonts w:hint="eastAsia" w:ascii="宋体" w:hAnsi="宋体" w:eastAsia="宋体" w:cs="宋体"/>
          <w:sz w:val="24"/>
          <w:szCs w:val="24"/>
          <w:highlight w:val="none"/>
          <w:lang w:eastAsia="zh-CN"/>
        </w:rPr>
        <w:t xml:space="preserve">。</w:t>
      </w:r>
      <w:r/>
    </w:p>
    <w:p>
      <w:pPr>
        <w:ind w:right="211" w:firstLine="420"/>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次年</w:t>
      </w:r>
      <w:r>
        <w:rPr>
          <w:rFonts w:hint="eastAsia" w:ascii="宋体" w:hAnsi="宋体" w:eastAsia="宋体" w:cs="宋体"/>
          <w:sz w:val="24"/>
          <w:szCs w:val="24"/>
          <w:highlight w:val="none"/>
        </w:rPr>
        <w:t xml:space="preserve">追溯期自20</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年4月23日零时起至202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年4月22日二十四时止</w:t>
      </w:r>
      <w:r>
        <w:rPr>
          <w:rFonts w:hint="eastAsia" w:ascii="宋体" w:hAnsi="宋体" w:cs="宋体"/>
          <w:sz w:val="24"/>
          <w:szCs w:val="24"/>
          <w:highlight w:val="none"/>
          <w:lang w:eastAsia="zh-CN"/>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经人民法院追认的医患纠纷赔偿在本保险期限内保险人同样负责赔偿。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在患者连续住院就诊并首次向被保险人提出索赔日在本保险起始日之后的医患纠纷，保险人负责纠纷的赔偿。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当年度（包括追溯期内发生的纠纷）的赔款纳入实际赔偿年度累计赔偿限额计算。</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1.5  年度保费：</w:t>
      </w:r>
      <w:r>
        <w:rPr>
          <w:rFonts w:hint="eastAsia" w:ascii="宋体" w:hAnsi="宋体" w:eastAsia="宋体" w:cs="宋体"/>
          <w:color w:val="000000"/>
          <w:sz w:val="24"/>
          <w:szCs w:val="24"/>
          <w:highlight w:val="none"/>
        </w:rPr>
        <w:t xml:space="preserve">（根据中标人报价）。</w:t>
      </w:r>
      <w:r/>
    </w:p>
    <w:p>
      <w:pPr>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w:t>
      </w:r>
      <w:r>
        <w:rPr>
          <w:rFonts w:hint="eastAsia" w:ascii="宋体" w:hAnsi="宋体" w:eastAsia="宋体" w:cs="宋体"/>
          <w:color w:val="000000"/>
          <w:sz w:val="24"/>
          <w:szCs w:val="24"/>
          <w:highlight w:val="none"/>
        </w:rPr>
        <w:t xml:space="preserve">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 </w:t>
      </w: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在保险单列明的保险期间或追溯期及承保区域范围内，在保险单中载明的被保险人的医务人员（以下简称投保医务人员）在诊疗活动中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包括互联网诊疗</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因执业过失和被保险人因法人过失造成患者人身损害或者财产损失，在本保险期间内，由患者或其近亲属首次向被保险人提出索赔申请，依法应由被保险人承担民事赔偿责任时，保险人按照本保险合同的约定负责赔偿。</w:t>
      </w:r>
      <w:r/>
    </w:p>
    <w:p>
      <w:pPr>
        <w:ind w:firstLine="420"/>
        <w:spacing w:line="440" w:lineRule="exact"/>
        <w:rPr>
          <w:rFonts w:hint="eastAsia" w:ascii="宋体" w:hAnsi="宋体" w:eastAsia="宋体" w:cs="宋体"/>
          <w:bCs/>
          <w:color w:val="ff0000"/>
          <w:sz w:val="24"/>
          <w:szCs w:val="24"/>
          <w:highlight w:val="none"/>
        </w:rPr>
      </w:pPr>
      <w:r>
        <w:rPr>
          <w:rFonts w:hint="eastAsia" w:ascii="宋体" w:hAnsi="宋体" w:eastAsia="宋体" w:cs="宋体"/>
          <w:bCs/>
          <w:sz w:val="24"/>
          <w:szCs w:val="24"/>
          <w:highlight w:val="none"/>
        </w:rPr>
        <w:t xml:space="preserve">1.6.2  保险责任范围内的事故发生后，必要的法律费用，包括但不仅限于事故鉴定费、查勘费、取证费、差旅费、仲裁或诉讼费、案件受理费、律师费等，保险人按照本保险合同的约定负责赔偿。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  扩展责任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 在保险单列明的保险期间或追溯期及承保区域范围内，被保险人的投保医务人员在诊疗护理活动中，因下列情形造成患者人身损害，在本保险期间内，由患者或其近亲属首次向被保险人提出索赔申请，依法应由被保险人承担民事赔偿责任时，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（1）在诊疗护理过程中，由于病情或患者体质特殊而发生的难以预料或在预料之中但难以防范的不良后果；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（2）按照正常的技术规范操作，仍然发生难以避免的并发症或者治疗意外；</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（3）应用现有医学科学技术，仍然发生无法预料或难以防范的不良后果；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（4）在危急情况下为抢救危重患者生命而采取的紧急措施所造成的不良后果；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（5）因药品、消毒药剂、医疗器械的缺陷，或者输入不合格的血液，或药品不良反应造成患者损害。</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1.7.2外聘（外请）医疗专家医疗责任扩展条款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1.7.2.1本条款约定，在本保险合同列明的保险期间或追溯期内及承保区域范围内，被保险人外聘（外请）医疗专家在诊疗活动中因职业过失造成患者人身损害，在本保险期间内，由患者或其近亲属首次向被保险人提出索赔申请，依法应由被保险人承担民事赔偿责任时，保险人按照本保险合同的约定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1.7.2.2外聘（外请）医疗专家保费条款</w:t>
      </w:r>
      <w:r/>
    </w:p>
    <w:p>
      <w:pPr>
        <w:ind w:firstLine="420"/>
        <w:spacing w:line="440" w:lineRule="exact"/>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本条款约定，为响应卫生多点执业、提高基层医疗机构的医疗诊疗水平，外聘（外请）医疗专家的保费不再按照具体的人员数量的多少收取，投保人、被保险人也无需向保险人提供外聘（外请）医疗专家的具体名单进行投保；此类保费由投标人在投标报价时予以酌情考虑，包含在总的医疗责任险保费报价中。</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  责任免除</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1.8.1  下列原因造成的损失、费用和责任，保险人不负责赔偿：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（1）被保险人或其投保医务人员的故意行为、犯罪行为和非执业行为；</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（2）战争、敌对行为、军事行动、武装冲突、恐怖活动、罢工、骚乱、暴动、盗窃、抢劫；</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（3）核反应、核子辐射和放射性污染。但使用放射器材治疗发生的赔偿责任，不在此限；</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（4）地震、海啸、雷击、暴雨、洪水等自然灾害。</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1.8.2  下列情形造成的损失、费用和责任，保险人不负责赔偿：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（1）未经国家有关部门认定合格的医务人员进行的诊疗工作；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（2）临床试验性检查、治疗以及其它不以治疗为目的的诊疗活动造成患者的人身损害，包括但不仅限于整形美容、健康体检；</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（3）被保险人或其投保医务人员从事未经国家有关部门许可的诊疗工作；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（4）被保险人或其投保医务人员被吊销执业许可或被取消执业资格以及受停业、停职处分后仍继续进行诊疗工作；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（5）被保险人投保医务人员在饮酒、吸毒或药剂麻醉状态下进行诊疗工作；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（6）被保险人或其投保医务人员使用未经国家有关部门批准使用的药品、消毒药剂和医疗器械，但经国家有关部门批准进行临床实验所使用的药品、消毒药剂、医疗器械不在此限；</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（7）被保险人或其投保医务人员在正当的诊断、治疗范围外使用麻醉药品、医疗用毒性药品、精神药品和放射性药品；</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（8）患者或者其近亲属不配合医疗机构进行符合诊疗规范的诊疗，被保险人及其医务人员没有过错的。</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1.8.3  下列损失、费用和责任，保险人不负责赔偿</w:t>
      </w:r>
      <w:r>
        <w:rPr>
          <w:rFonts w:hint="eastAsia" w:ascii="宋体" w:hAnsi="宋体" w:eastAsia="宋体" w:cs="宋体"/>
          <w:sz w:val="24"/>
          <w:szCs w:val="24"/>
          <w:highlight w:val="none"/>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（1）被保险人医务人员或其代表的人身伤亡；</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（2）直接或间接由于计算机2000年问题引起的损失；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（3）罚款、罚金或惩罚性赔偿；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（4）投保医务人员自终止在被保险人的营业处所内工作之后所发生的任何损失、费用和责任。</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赔偿限额</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1.9.1</w:t>
      </w:r>
      <w:r/>
    </w:p>
    <w:tbl>
      <w:tblPr>
        <w:tblStyle w:val="863"/>
        <w:tblW w:w="52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3766"/>
        <w:gridCol w:w="3551"/>
      </w:tblGrid>
      <w:tr>
        <w:trPr>
          <w:jc w:val="center"/>
          <w:trHeight w:val="507"/>
        </w:trPr>
        <w:tc>
          <w:tcPr>
            <w:tcW w:w="1263" w:type="pct"/>
            <w:vAlign w:val="center"/>
            <w:textDirection w:val="lrTb"/>
            <w:noWrap w:val="false"/>
          </w:tcPr>
          <w:p>
            <w:pPr>
              <w:ind w:firstLine="411"/>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医疗机构</w:t>
            </w:r>
            <w:r/>
          </w:p>
        </w:tc>
        <w:tc>
          <w:tcPr>
            <w:tcW w:w="1923" w:type="pct"/>
            <w:vAlign w:val="center"/>
            <w:textDirection w:val="lrTb"/>
            <w:noWrap w:val="false"/>
          </w:tcPr>
          <w:p>
            <w:pPr>
              <w:jc w:val="center"/>
              <w:spacing w:line="440" w:lineRule="exact"/>
              <w:rPr>
                <w:rFonts w:hint="eastAsia" w:ascii="宋体" w:hAnsi="宋体" w:eastAsia="宋体" w:cs="宋体"/>
                <w:bCs/>
                <w:color w:val="000000"/>
                <w:sz w:val="24"/>
                <w:szCs w:val="24"/>
                <w:highlight w:val="none"/>
              </w:rPr>
            </w:pPr>
            <w:r/>
            <w:bookmarkStart w:id="815" w:name="OLE_LINK4"/>
            <w:r>
              <w:rPr>
                <w:rFonts w:hint="eastAsia" w:ascii="宋体" w:hAnsi="宋体" w:eastAsia="宋体" w:cs="宋体"/>
                <w:bCs/>
                <w:color w:val="000000"/>
                <w:sz w:val="24"/>
                <w:szCs w:val="24"/>
                <w:highlight w:val="none"/>
              </w:rPr>
              <w:t xml:space="preserve">年度累计赔偿</w:t>
            </w:r>
            <w:bookmarkEnd w:id="815"/>
            <w:r>
              <w:rPr>
                <w:rFonts w:hint="eastAsia" w:ascii="宋体" w:hAnsi="宋体" w:eastAsia="宋体" w:cs="宋体"/>
                <w:bCs/>
                <w:color w:val="000000"/>
                <w:sz w:val="24"/>
                <w:szCs w:val="24"/>
                <w:highlight w:val="none"/>
              </w:rPr>
              <w:t xml:space="preserve">限额（万元/年）</w:t>
            </w:r>
            <w:r/>
          </w:p>
        </w:tc>
        <w:tc>
          <w:tcPr>
            <w:tcW w:w="1813" w:type="pct"/>
            <w:vAlign w:val="center"/>
            <w:textDirection w:val="lrTb"/>
            <w:noWrap w:val="false"/>
          </w:tcPr>
          <w:p>
            <w:pPr>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每人每次赔偿限额（万元/年）</w:t>
            </w:r>
            <w:r/>
          </w:p>
        </w:tc>
      </w:tr>
      <w:tr>
        <w:trPr>
          <w:jc w:val="center"/>
        </w:trPr>
        <w:tc>
          <w:tcPr>
            <w:tcW w:w="1263" w:type="pct"/>
            <w:vAlign w:val="top"/>
            <w:textDirection w:val="lrTb"/>
            <w:noWrap w:val="false"/>
          </w:tcPr>
          <w:p>
            <w:pPr>
              <w:jc w:val="center"/>
              <w:spacing w:line="440" w:lineRule="exact"/>
              <w:rPr>
                <w:rFonts w:hint="eastAsia" w:ascii="宋体" w:hAnsi="宋体" w:eastAsia="宋体" w:cs="宋体"/>
                <w:bCs/>
                <w:sz w:val="24"/>
                <w:szCs w:val="24"/>
                <w:highlight w:val="none"/>
                <w:lang w:eastAsia="zh-CN"/>
              </w:rPr>
            </w:pPr>
            <w:r/>
            <w:bookmarkStart w:id="816" w:name="_Hlk180586196"/>
            <w:r>
              <w:rPr>
                <w:rFonts w:hint="eastAsia" w:ascii="宋体" w:hAnsi="宋体" w:eastAsia="宋体" w:cs="宋体"/>
                <w:bCs/>
                <w:sz w:val="24"/>
                <w:szCs w:val="24"/>
                <w:highlight w:val="none"/>
                <w:lang w:eastAsia="zh-CN"/>
              </w:rPr>
              <w:t xml:space="preserve">常州市第三人民医院</w:t>
            </w:r>
            <w:r/>
          </w:p>
        </w:tc>
        <w:tc>
          <w:tcPr>
            <w:tcW w:w="1923" w:type="pct"/>
            <w:vAlign w:val="center"/>
            <w:textDirection w:val="lrTb"/>
            <w:noWrap w:val="false"/>
          </w:tcPr>
          <w:p>
            <w:pPr>
              <w:jc w:val="center"/>
              <w:widowControl/>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80</w:t>
            </w:r>
            <w:r/>
          </w:p>
        </w:tc>
        <w:tc>
          <w:tcPr>
            <w:tcW w:w="1813" w:type="pct"/>
            <w:vAlign w:val="top"/>
            <w:textDirection w:val="lrTb"/>
            <w:noWrap w:val="false"/>
          </w:tcPr>
          <w:p>
            <w:pPr>
              <w:ind w:firstLine="411"/>
              <w:jc w:val="cente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80</w:t>
            </w:r>
            <w:bookmarkEnd w:id="816"/>
            <w:r/>
            <w:r/>
          </w:p>
        </w:tc>
      </w:tr>
    </w:tbl>
    <w:p>
      <w:pPr>
        <w:ind w:right="21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  精神损害每人责任限额：为医疗责任保险每人次责任限额的30%，包含在医疗责任保险每人次责任限额内。</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1.9.3  法律费用累计赔偿限额：为医疗责任保险单载明年度累计赔偿限额的10%。</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其中：每人次赔偿限额为实际发生赔偿金额的10%。</w:t>
      </w:r>
      <w:r/>
    </w:p>
    <w:p>
      <w:pPr>
        <w:ind w:firstLine="411"/>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1.9.4  对属于保</w:t>
      </w:r>
      <w:r>
        <w:rPr>
          <w:rFonts w:hint="eastAsia" w:ascii="宋体" w:hAnsi="宋体" w:eastAsia="宋体" w:cs="宋体"/>
          <w:sz w:val="24"/>
          <w:szCs w:val="24"/>
          <w:highlight w:val="none"/>
        </w:rPr>
        <w:t xml:space="preserve">险责任范围内的医患民事纠纷，保险人依据常州市医患纠纷人民调解委员会（</w:t>
      </w:r>
      <w:r>
        <w:rPr>
          <w:rFonts w:hint="eastAsia" w:ascii="宋体" w:hAnsi="宋体" w:eastAsia="宋体" w:cs="宋体"/>
          <w:bCs/>
          <w:sz w:val="24"/>
          <w:szCs w:val="24"/>
          <w:highlight w:val="none"/>
        </w:rPr>
        <w:t xml:space="preserve">调处中心</w:t>
      </w:r>
      <w:r>
        <w:rPr>
          <w:rFonts w:hint="eastAsia" w:ascii="宋体" w:hAnsi="宋体" w:eastAsia="宋体" w:cs="宋体"/>
          <w:sz w:val="24"/>
          <w:szCs w:val="24"/>
          <w:highlight w:val="none"/>
        </w:rPr>
        <w:t xml:space="preserve">）的“人民调解协议书”、人民法院的生效法律文书（包括调解书、裁、判文书），在约定赔偿限额内向被保险人（或患方）足额赔偿。</w:t>
      </w:r>
      <w:r/>
    </w:p>
    <w:p>
      <w:pPr>
        <w:ind w:right="211" w:firstLine="420"/>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1.10  免赔额或免赔率：本医疗责任保险无免赔额或免赔率。</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1.11  理赔约定</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纠纷处置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根据《医疗纠纷预防和处理条例》、《江苏省医疗纠纷预防与处理条例》规定，发生医疗纠纷，医患双方可向常州市医患纠纷人民调解委员会（调处中心）申请调解或向人民法院提起诉讼。</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因属于保险责任范围内的医患民事纠纷发生诉讼、仲裁时，被保险人根据《医疗纠纷预防和处理条例》、《江苏省医疗纠纷预防与处理条例》规定处理有关诉讼、仲裁事宜。诉讼结束后及时将案件结果及法院判裁文书交付保险人。</w:t>
      </w:r>
      <w:r/>
    </w:p>
    <w:p>
      <w:pPr>
        <w:ind w:firstLine="411"/>
        <w:spacing w:line="440" w:lineRule="exact"/>
        <w:rPr>
          <w:rFonts w:hint="eastAsia" w:ascii="宋体" w:hAnsi="宋体" w:eastAsia="宋体" w:cs="宋体"/>
          <w:bCs/>
          <w:color w:val="ffff00"/>
          <w:sz w:val="24"/>
          <w:szCs w:val="24"/>
          <w:highlight w:val="none"/>
        </w:rPr>
      </w:pPr>
      <w:r>
        <w:rPr>
          <w:rFonts w:hint="eastAsia" w:ascii="宋体" w:hAnsi="宋体" w:eastAsia="宋体" w:cs="宋体"/>
          <w:bCs/>
          <w:sz w:val="24"/>
          <w:szCs w:val="24"/>
          <w:highlight w:val="none"/>
        </w:rPr>
        <w:t xml:space="preserve">出险时间：常州市医患纠纷人民调解委员会（调处中心）或人民法院明确医患双方责任、理赔金额的时间，即常州市医患纠纷人民调解委员会（调处中心）出具的“人民调解协议书”或人民法院出具的生效法律文书（包括调解书、裁、判文书）的落款时间。</w:t>
      </w:r>
      <w:r/>
    </w:p>
    <w:p>
      <w:pPr>
        <w:ind w:right="211"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1.11.2  理赔依据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1.11.3  赔偿方式 </w:t>
      </w:r>
      <w:r/>
    </w:p>
    <w:p>
      <w:pPr>
        <w:ind w:firstLine="411"/>
        <w:spacing w:line="440" w:lineRule="exact"/>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保险人遵照《保险法》第65条之规定“保险人对责任保险的被保险人给第三者造成的损害，可以依照法律的规定或者合同的约定，直接向该第三者赔偿保险金”，直接赔付给患者或其代理人，</w:t>
      </w:r>
      <w:r>
        <w:rPr>
          <w:rFonts w:hint="eastAsia" w:ascii="宋体" w:hAnsi="宋体" w:eastAsia="宋体" w:cs="宋体"/>
          <w:bCs/>
          <w:sz w:val="24"/>
          <w:szCs w:val="24"/>
          <w:highlight w:val="none"/>
          <w:lang w:val="en-US" w:eastAsia="zh-CN"/>
        </w:rPr>
        <w:t xml:space="preserve">或应医疗机构的要求</w:t>
      </w:r>
      <w:r>
        <w:rPr>
          <w:rFonts w:hint="eastAsia" w:ascii="宋体" w:hAnsi="宋体" w:eastAsia="宋体" w:cs="宋体"/>
          <w:bCs/>
          <w:sz w:val="24"/>
          <w:szCs w:val="24"/>
          <w:highlight w:val="none"/>
        </w:rPr>
        <w:t xml:space="preserve">向被保险人赔偿。</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1.11.4  理赔材料</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被保险人须提供的理赔材料：</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right="211"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医患纠纷</w:t>
      </w:r>
      <w:r>
        <w:rPr>
          <w:rFonts w:hint="eastAsia" w:ascii="宋体" w:hAnsi="宋体" w:eastAsia="宋体" w:cs="宋体"/>
          <w:bCs/>
          <w:sz w:val="24"/>
          <w:szCs w:val="24"/>
          <w:highlight w:val="none"/>
        </w:rPr>
        <w:t xml:space="preserve">人民调解书或人民法院生效法律文书；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（3）医患纠纷</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确认表；</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（4）医方授权委托书；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（5）患方授权委托书及受托人身份证明；</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（6）患方身份证明（包括未成年人在内的限制民事行为能力人或无民事行为能力人须提供其监护人身份证明），患者死亡的须提供医学死亡证明或户口注销证明（复印件）；</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（7）患者本人或委托代理人银行卡复印件；</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（8）委托转账支付授权书；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（9）当事医护人员执业证书、资格证书；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（10）病历材料，包括：门诊病历、出院记录、手术记录、涉及医药费赔偿的需提供医疗费票据；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（11）医院医疗事件调查登记表；</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（12）保险人直接向被保险人支付的，被保险人需提供已将理赔款支付给患者或其代理人的凭证：收条、照片、银行转账凭证。</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1.11.5  赔偿期限</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（1）每人赔偿金额在贰万元以内（包括贰万元）的，保险人在收到完整理赔材料的3个工作日内完成赔付。</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（2）每人赔偿金额超过贰万元的，保险人在收到完整理赔材料的7个工作日内完成赔付。</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的赔偿及上述滞纳金外，保险人另需承担被保险人其他相关的损失（</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1.11.6  后续费用</w:t>
      </w:r>
      <w:r>
        <w:rPr>
          <w:rFonts w:hint="eastAsia" w:ascii="宋体" w:hAnsi="宋体" w:eastAsia="宋体" w:cs="宋体"/>
          <w:bCs/>
          <w:sz w:val="24"/>
          <w:szCs w:val="24"/>
          <w:highlight w:val="none"/>
        </w:rPr>
        <w:t xml:space="preserve">：经医患双方协商确实不能确定后续费用金额的（包括但不仅限于后续治疗费、护理费、残疾赔偿金等），保险人根据常州市医患纠纷人民调解委员会（调处中心）出具“人民调解书”或人民法院出具的生效法律文书（包括调解书、裁、判文书）进行赔付后，本赔案不作结（销）案处理，待医患双方另行确定后续费用金额后，依据常州市医患纠纷人民调解委员会（调处中心）出具“人民调解书”或人民法院出具的生效法律文书（包括调解书、裁、判文书）再作赔付。赔偿金额不得超过保险合同约定的每人赔偿限额。</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  赔偿项目、范围和标准以《中华人民共和国民法典》、《最高人民法院关于审理人身损害赔偿案件若干问题的解释》等相关法律规定为准。</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rPr>
        <w:t xml:space="preserve">  鉴定：</w:t>
      </w:r>
      <w:r>
        <w:rPr>
          <w:rFonts w:hint="eastAsia" w:ascii="宋体" w:hAnsi="宋体" w:eastAsia="宋体" w:cs="宋体"/>
          <w:bCs/>
          <w:sz w:val="24"/>
          <w:szCs w:val="24"/>
          <w:highlight w:val="none"/>
        </w:rPr>
        <w:t xml:space="preserve">若患者受到损害情况能够对照《人体损伤致残程度分级》（2016）、《人身损害误工期、护理期、营养期评定规范》（GA/T 1193-2014）得出明确的伤残等级、三期评定结论且经常州市医患纠纷人民调解委员会（调处中心）或人民法院确认后可以不必再通过权威部门进行伤残鉴定、三期评定等；若经过权威部门鉴定的，则以权威部门鉴定的为准。</w:t>
      </w:r>
      <w:r/>
    </w:p>
    <w:p>
      <w:pPr>
        <w:ind w:right="211" w:firstLine="48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1.12  费率浮动</w:t>
      </w:r>
      <w:r/>
    </w:p>
    <w:p>
      <w:pPr>
        <w:ind w:right="211"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1.12.1  医疗机构每年保费浮动因子包括：上一年度理赔率；医疗机构床位、手术台数、人员的增减两项。续保保费综合考虑以上两大浮动因子。</w:t>
      </w:r>
      <w:r/>
    </w:p>
    <w:p>
      <w:pPr>
        <w:ind w:right="211" w:firstLine="48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（1）理赔率：</w:t>
      </w:r>
      <w:r>
        <w:rPr>
          <w:rFonts w:hint="eastAsia" w:ascii="宋体" w:hAnsi="宋体" w:eastAsia="宋体" w:cs="宋体"/>
          <w:bCs/>
          <w:color w:val="000000"/>
          <w:sz w:val="24"/>
          <w:szCs w:val="24"/>
          <w:highlight w:val="none"/>
        </w:rPr>
        <w:t xml:space="preserve">医疗机构根据上一年度机构理赔率（赔款总金额/年度实缴保费×100%）调整下一年度保费：</w:t>
      </w:r>
      <w:r/>
    </w:p>
    <w:p>
      <w:pPr>
        <w:ind w:right="211"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理赔</w:t>
      </w:r>
      <w:r>
        <w:rPr>
          <w:rFonts w:hint="eastAsia" w:ascii="宋体" w:hAnsi="宋体" w:eastAsia="宋体" w:cs="宋体"/>
          <w:bCs/>
          <w:color w:val="000000"/>
          <w:sz w:val="24"/>
          <w:szCs w:val="24"/>
          <w:highlight w:val="none"/>
        </w:rPr>
        <w:t xml:space="preserve">比例不超过50%（含50%），下一</w:t>
      </w:r>
      <w:r>
        <w:rPr>
          <w:rFonts w:hint="eastAsia" w:ascii="宋体" w:hAnsi="宋体" w:cs="宋体"/>
          <w:bCs/>
          <w:color w:val="000000"/>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年度</w:t>
      </w:r>
      <w:r>
        <w:rPr>
          <w:rFonts w:hint="eastAsia" w:ascii="宋体" w:hAnsi="宋体" w:cs="宋体"/>
          <w:bCs/>
          <w:color w:val="000000"/>
          <w:sz w:val="24"/>
          <w:szCs w:val="24"/>
          <w:highlight w:val="none"/>
          <w:lang w:val="en-US" w:eastAsia="zh-CN"/>
        </w:rPr>
        <w:t xml:space="preserve">机构</w:t>
      </w:r>
      <w:r>
        <w:rPr>
          <w:rFonts w:hint="eastAsia" w:ascii="宋体" w:hAnsi="宋体" w:eastAsia="宋体" w:cs="宋体"/>
          <w:bCs/>
          <w:color w:val="000000"/>
          <w:sz w:val="24"/>
          <w:szCs w:val="24"/>
          <w:highlight w:val="none"/>
        </w:rPr>
        <w:t xml:space="preserve">累计赔偿限额不变，</w:t>
      </w:r>
      <w:r>
        <w:rPr>
          <w:rFonts w:hint="eastAsia" w:ascii="宋体" w:hAnsi="宋体" w:eastAsia="宋体" w:cs="宋体"/>
          <w:bCs/>
          <w:color w:val="000000"/>
          <w:sz w:val="24"/>
          <w:szCs w:val="24"/>
          <w:highlight w:val="none"/>
          <w:lang w:val="en-US" w:eastAsia="zh-CN"/>
        </w:rPr>
        <w:t xml:space="preserve">续保调整系数为80</w:t>
      </w:r>
      <w:r>
        <w:rPr>
          <w:rFonts w:hint="eastAsia" w:ascii="宋体" w:hAnsi="宋体" w:eastAsia="宋体" w:cs="宋体"/>
          <w:bCs/>
          <w:color w:val="000000"/>
          <w:sz w:val="24"/>
          <w:szCs w:val="24"/>
          <w:highlight w:val="none"/>
        </w:rPr>
        <w:t xml:space="preserve">%；</w:t>
      </w:r>
      <w:r/>
    </w:p>
    <w:p>
      <w:pPr>
        <w:ind w:right="211"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理赔</w:t>
      </w:r>
      <w:r>
        <w:rPr>
          <w:rFonts w:hint="eastAsia" w:ascii="宋体" w:hAnsi="宋体" w:eastAsia="宋体" w:cs="宋体"/>
          <w:bCs/>
          <w:color w:val="000000"/>
          <w:sz w:val="24"/>
          <w:szCs w:val="24"/>
          <w:highlight w:val="none"/>
        </w:rPr>
        <w:t xml:space="preserve">比例在50%-70%（含70%）之间，下一</w:t>
      </w:r>
      <w:r>
        <w:rPr>
          <w:rFonts w:hint="eastAsia" w:ascii="宋体" w:hAnsi="宋体" w:cs="宋体"/>
          <w:bCs/>
          <w:color w:val="000000"/>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年度</w:t>
      </w:r>
      <w:r>
        <w:rPr>
          <w:rFonts w:hint="eastAsia" w:ascii="宋体" w:hAnsi="宋体" w:cs="宋体"/>
          <w:bCs/>
          <w:color w:val="000000"/>
          <w:sz w:val="24"/>
          <w:szCs w:val="24"/>
          <w:highlight w:val="none"/>
          <w:lang w:val="en-US" w:eastAsia="zh-CN"/>
        </w:rPr>
        <w:t xml:space="preserve">机构</w:t>
      </w:r>
      <w:r>
        <w:rPr>
          <w:rFonts w:hint="eastAsia" w:ascii="宋体" w:hAnsi="宋体" w:eastAsia="宋体" w:cs="宋体"/>
          <w:bCs/>
          <w:color w:val="000000"/>
          <w:sz w:val="24"/>
          <w:szCs w:val="24"/>
          <w:highlight w:val="none"/>
        </w:rPr>
        <w:t xml:space="preserve">累计赔偿限额不变，</w:t>
      </w:r>
      <w:r>
        <w:rPr>
          <w:rFonts w:hint="eastAsia" w:ascii="宋体" w:hAnsi="宋体" w:eastAsia="宋体" w:cs="宋体"/>
          <w:bCs/>
          <w:color w:val="000000"/>
          <w:sz w:val="24"/>
          <w:szCs w:val="24"/>
          <w:highlight w:val="none"/>
          <w:lang w:val="en-US" w:eastAsia="zh-CN"/>
        </w:rPr>
        <w:t xml:space="preserve">续保调整系数为</w:t>
      </w:r>
      <w:r>
        <w:rPr>
          <w:rFonts w:hint="eastAsia" w:ascii="宋体" w:hAnsi="宋体" w:eastAsia="宋体" w:cs="宋体"/>
          <w:bCs/>
          <w:color w:val="000000"/>
          <w:sz w:val="24"/>
          <w:szCs w:val="24"/>
          <w:highlight w:val="none"/>
        </w:rPr>
        <w:t xml:space="preserve">90%；</w:t>
      </w:r>
      <w:r/>
    </w:p>
    <w:p>
      <w:pPr>
        <w:ind w:right="211"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理赔</w:t>
      </w:r>
      <w:r>
        <w:rPr>
          <w:rFonts w:hint="eastAsia" w:ascii="宋体" w:hAnsi="宋体" w:eastAsia="宋体" w:cs="宋体"/>
          <w:bCs/>
          <w:color w:val="000000"/>
          <w:sz w:val="24"/>
          <w:szCs w:val="24"/>
          <w:highlight w:val="none"/>
        </w:rPr>
        <w:t xml:space="preserve">比例在70%-105%（含105%）之间，下一</w:t>
      </w:r>
      <w:r>
        <w:rPr>
          <w:rFonts w:hint="eastAsia" w:ascii="宋体" w:hAnsi="宋体" w:cs="宋体"/>
          <w:bCs/>
          <w:color w:val="000000"/>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年度</w:t>
      </w:r>
      <w:r>
        <w:rPr>
          <w:rFonts w:hint="eastAsia" w:ascii="宋体" w:hAnsi="宋体" w:cs="宋体"/>
          <w:bCs/>
          <w:color w:val="000000"/>
          <w:sz w:val="24"/>
          <w:szCs w:val="24"/>
          <w:highlight w:val="none"/>
          <w:lang w:val="en-US" w:eastAsia="zh-CN"/>
        </w:rPr>
        <w:t xml:space="preserve">机构</w:t>
      </w:r>
      <w:r>
        <w:rPr>
          <w:rFonts w:hint="eastAsia" w:ascii="宋体" w:hAnsi="宋体" w:eastAsia="宋体" w:cs="宋体"/>
          <w:bCs/>
          <w:color w:val="000000"/>
          <w:sz w:val="24"/>
          <w:szCs w:val="24"/>
          <w:highlight w:val="none"/>
        </w:rPr>
        <w:t xml:space="preserve">累计赔偿限额不变，保费不变；</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lang w:val="en-US" w:eastAsia="zh-CN"/>
        </w:rPr>
        <w:t xml:space="preserve">理赔</w:t>
      </w:r>
      <w:r>
        <w:rPr>
          <w:rFonts w:hint="eastAsia" w:ascii="宋体" w:hAnsi="宋体" w:eastAsia="宋体" w:cs="宋体"/>
          <w:bCs/>
          <w:color w:val="000000"/>
          <w:sz w:val="24"/>
          <w:szCs w:val="24"/>
          <w:highlight w:val="none"/>
        </w:rPr>
        <w:t xml:space="preserve">比例在105%以上，下一</w:t>
      </w:r>
      <w:r>
        <w:rPr>
          <w:rFonts w:hint="eastAsia" w:ascii="宋体" w:hAnsi="宋体" w:cs="宋体"/>
          <w:bCs/>
          <w:color w:val="000000"/>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年度</w:t>
      </w:r>
      <w:r>
        <w:rPr>
          <w:rFonts w:hint="eastAsia" w:ascii="宋体" w:hAnsi="宋体" w:cs="宋体"/>
          <w:bCs/>
          <w:color w:val="000000"/>
          <w:sz w:val="24"/>
          <w:szCs w:val="24"/>
          <w:highlight w:val="none"/>
          <w:lang w:val="en-US" w:eastAsia="zh-CN"/>
        </w:rPr>
        <w:t xml:space="preserve">机构</w:t>
      </w:r>
      <w:r>
        <w:rPr>
          <w:rFonts w:hint="eastAsia" w:ascii="宋体" w:hAnsi="宋体" w:eastAsia="宋体" w:cs="宋体"/>
          <w:bCs/>
          <w:color w:val="000000"/>
          <w:sz w:val="24"/>
          <w:szCs w:val="24"/>
          <w:highlight w:val="none"/>
        </w:rPr>
        <w:t xml:space="preserve">累计赔偿限额不变、保费按比例上浮，计算公式如下：保费=</w:t>
      </w:r>
      <w:r>
        <w:rPr>
          <w:rFonts w:hint="eastAsia" w:ascii="宋体" w:hAnsi="宋体" w:eastAsia="宋体" w:cs="宋体"/>
          <w:bCs/>
          <w:color w:val="000000"/>
          <w:sz w:val="24"/>
          <w:szCs w:val="24"/>
          <w:highlight w:val="none"/>
          <w:lang w:val="en-US" w:eastAsia="zh-CN"/>
        </w:rPr>
        <w:t xml:space="preserve">上一年度</w:t>
      </w:r>
      <w:r>
        <w:rPr>
          <w:rFonts w:hint="eastAsia" w:ascii="宋体" w:hAnsi="宋体" w:eastAsia="宋体" w:cs="宋体"/>
          <w:bCs/>
          <w:color w:val="000000"/>
          <w:sz w:val="24"/>
          <w:szCs w:val="24"/>
          <w:highlight w:val="none"/>
        </w:rPr>
        <w:t xml:space="preserve">保费×（上一年度理赔率-105%）+</w:t>
      </w:r>
      <w:r>
        <w:rPr>
          <w:rFonts w:hint="eastAsia" w:ascii="宋体" w:hAnsi="宋体" w:eastAsia="宋体" w:cs="宋体"/>
          <w:bCs/>
          <w:color w:val="000000"/>
          <w:sz w:val="24"/>
          <w:szCs w:val="24"/>
          <w:highlight w:val="none"/>
          <w:lang w:val="en-US" w:eastAsia="zh-CN"/>
        </w:rPr>
        <w:t xml:space="preserve">上一年度</w:t>
      </w:r>
      <w:r>
        <w:rPr>
          <w:rFonts w:hint="eastAsia" w:ascii="宋体" w:hAnsi="宋体" w:eastAsia="宋体" w:cs="宋体"/>
          <w:bCs/>
          <w:color w:val="000000"/>
          <w:sz w:val="24"/>
          <w:szCs w:val="24"/>
          <w:highlight w:val="none"/>
        </w:rPr>
        <w:t xml:space="preserve">保费。</w:t>
      </w:r>
      <w:r/>
    </w:p>
    <w:p>
      <w:pPr>
        <w:ind w:right="211" w:firstLine="422"/>
        <w:spacing w:line="4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1.12  医疗机构床位、手术台数、人员的增减</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 1 \* GB3 \* MERGEFORMAT </w:instrText>
      </w:r>
      <w:r>
        <w:rPr>
          <w:rFonts w:hint="eastAsia" w:ascii="宋体" w:hAnsi="宋体" w:eastAsia="宋体" w:cs="宋体"/>
          <w:bCs/>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床位基准保险费：450元/床位/年。</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bCs/>
          <w:sz w:val="24"/>
          <w:szCs w:val="24"/>
          <w:highlight w:val="none"/>
        </w:rPr>
        <w:t xml:space="preserve">住院病人手术人次基准保险费：50元/人次。</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bCs/>
          <w:sz w:val="24"/>
          <w:szCs w:val="24"/>
          <w:highlight w:val="none"/>
        </w:rPr>
        <w:t xml:space="preserve">医务人员基准保险费：</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三院</w:t>
      </w:r>
      <w:r>
        <w:rPr>
          <w:rFonts w:hint="eastAsia" w:ascii="宋体" w:hAnsi="宋体" w:eastAsia="宋体" w:cs="宋体"/>
          <w:bCs/>
          <w:sz w:val="24"/>
          <w:szCs w:val="24"/>
          <w:highlight w:val="none"/>
        </w:rPr>
        <w:t xml:space="preserve">手术科室医师1</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00元/人/年、非手术科室医师</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00元/人/年、护士及医技、药剂科室人员</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00元/人/年。</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为了简化操作，保险期间内医疗机构床位、手术台数发生变动不调整保费。保险期间内，医护人员发生变动，按岗位类别对应人员保费标准及实际天数计收或退还保费。</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1.12.2  续保保费原则上不得低于首年保费的</w:t>
      </w:r>
      <w:r>
        <w:rPr>
          <w:rFonts w:hint="eastAsia" w:ascii="宋体" w:hAnsi="宋体" w:eastAsia="宋体" w:cs="宋体"/>
          <w:bCs/>
          <w:sz w:val="24"/>
          <w:szCs w:val="24"/>
          <w:highlight w:val="none"/>
          <w:lang w:val="en-US" w:eastAsia="zh-CN"/>
        </w:rPr>
        <w:t xml:space="preserve">80</w:t>
      </w:r>
      <w:r>
        <w:rPr>
          <w:rFonts w:hint="eastAsia" w:ascii="宋体" w:hAnsi="宋体" w:eastAsia="宋体" w:cs="宋体"/>
          <w:bCs/>
          <w:sz w:val="24"/>
          <w:szCs w:val="24"/>
          <w:highlight w:val="none"/>
        </w:rPr>
        <w:t xml:space="preserve">%。</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续保保费</w:t>
      </w:r>
      <w:r>
        <w:rPr>
          <w:rFonts w:hint="eastAsia" w:ascii="宋体" w:hAnsi="宋体" w:eastAsia="宋体" w:cs="宋体"/>
          <w:bCs/>
          <w:sz w:val="24"/>
          <w:szCs w:val="24"/>
          <w:highlight w:val="none"/>
          <w:lang w:eastAsia="zh-CN"/>
        </w:rPr>
        <w:t xml:space="preserve">调整</w:t>
      </w:r>
      <w:r>
        <w:rPr>
          <w:rFonts w:hint="eastAsia" w:ascii="宋体" w:hAnsi="宋体" w:eastAsia="宋体" w:cs="宋体"/>
          <w:bCs/>
          <w:sz w:val="24"/>
          <w:szCs w:val="24"/>
          <w:highlight w:val="none"/>
        </w:rPr>
        <w:t xml:space="preserve">比例在遵循以上原则基础上，经医疗机构、保险经纪公司、</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保险公司协商确定。</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1.13  保险人、被保险人、采购人委托的第三方保险经纪公司职责</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1.13.1  保险人：严格执行保险合同约定；投保或理赔材料齐全以后，快速做好出单或赔偿工作；严格执行理赔时限；每月底与采购人委托的第三方保险经纪公司核对理赔数据，并及时出具相关统计表。</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1.13.2  被保险人：及时提供投保资料并交付保险费，切实组织好本单位的投保工作；及时、真实地提供理赔材料；严格执行保险合同约定；认真执行相关法律法规，规范医疗行为。 </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1.13.3  采购人委托的第三方保险经纪公司：认真履行委托人委托事项，及时搜集数据、制定方案；及时办理被保险人相关保险事务；在取得完整理赔材料后，审定保险责任归属并向保险人报案；督促保险人快速理赔；根据委托和约定，定期将保险开展情况及各项相关真实数据以报表形式报送委托人。</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1.14 </w:t>
      </w: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为了更好的发挥公立医疗机构联合体防御风险的作用，根据苏医改办发〔2017〕15号《关于进一步推进医疗联合体建设和发展的实施意见》文件中有关鼓励通过专科共建、临床带教、业务指导、科研和项目协作、开设联合病房等方式，促进医联体内医疗机构医师的有序流动的精神，根据常州市卫生健康委员会要求，自2017年7月1日起常州市公立医疗机构医联体内部所有注册投保的医、护、技人员名单予以共享。</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  保险机构保险条款中与本方案保险责任、扩展责任、责任免除、出险处理、理赔材料等不一致的以本方案规定为准。</w:t>
      </w:r>
      <w:r/>
    </w:p>
    <w:p>
      <w:pPr>
        <w:ind w:left="42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2．附加场所责任险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2.1  投保人</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2.2  被保险人</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2.3  保险期间</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年04月22日二十四时</w:t>
      </w:r>
      <w:r>
        <w:rPr>
          <w:rFonts w:hint="eastAsia" w:ascii="宋体" w:hAnsi="宋体" w:eastAsia="宋体" w:cs="宋体"/>
          <w:sz w:val="24"/>
          <w:szCs w:val="24"/>
          <w:highlight w:val="none"/>
          <w:lang w:val="en-US" w:eastAsia="zh-CN"/>
        </w:rPr>
        <w:t xml:space="preserve">止</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险责任：在保险单明细表列明的保险期间及承保区域范围内，由于包括但不限于下列原因导致第三者（含患者）的人身伤害或财产损失，依法应由被保险人承担民事赔偿责任时，保险人根据本附加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（1）被保险医疗机构的公共设施存在缺陷；</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（2）被保险医疗机构内的公共设施管理不善或操作、维护不当；</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（3）被保险医疗机构范围内的火灾或爆炸；</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（4）被保险医疗机构提供的食品引发食物中毒或其他食源性疾患。</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  赔偿限额</w:t>
      </w:r>
      <w:r/>
    </w:p>
    <w:p>
      <w:pPr>
        <w:ind w:firstLine="420"/>
        <w:spacing w:line="440" w:lineRule="exact"/>
        <w:rPr>
          <w:rFonts w:hint="eastAsia" w:ascii="宋体" w:hAnsi="宋体" w:eastAsia="宋体" w:cs="宋体"/>
          <w:sz w:val="24"/>
          <w:szCs w:val="24"/>
          <w:highlight w:val="none"/>
        </w:rPr>
      </w:pPr>
      <w:r/>
      <w:bookmarkStart w:id="817" w:name="OLE_LINK13"/>
      <w:r>
        <w:rPr>
          <w:rFonts w:hint="eastAsia" w:ascii="宋体" w:hAnsi="宋体" w:eastAsia="宋体" w:cs="宋体"/>
          <w:sz w:val="24"/>
          <w:szCs w:val="24"/>
          <w:highlight w:val="none"/>
        </w:rPr>
        <w:t xml:space="preserve">每人每次事故赔偿限额：80万元。</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医疗机构年度累计赔偿限额：300万元。</w:t>
      </w:r>
      <w:bookmarkEnd w:id="817"/>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  本附加保险无免赔额或免赔率。</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  理赔依据：为常州市医患纠纷人民调解委员会（调处中心）出具的“纠纷调解协议书”或人民法院的生效法律文书（包括调解书、裁、判文书）。</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2.8  赔偿期限</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2.8.1  每人赔偿金额在贰万元以内（包括贰万元）的，保险人在收到完整理赔材料的3个工作日内完成赔付。</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每人赔偿金额超过贰万元的，保险人在收到完整理赔材料的7个工作日内完成赔付。</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2.8.3 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赔偿外，保险人另需承担被保险人其他相关的损失（</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2.9  赔偿方式 </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保险人遵照《保险法》第65条之规定原则上直接赔付给伤者，或根据</w:t>
      </w:r>
      <w:r>
        <w:rPr>
          <w:rFonts w:hint="eastAsia" w:ascii="宋体" w:hAnsi="宋体" w:eastAsia="宋体" w:cs="宋体"/>
          <w:sz w:val="24"/>
          <w:szCs w:val="24"/>
          <w:highlight w:val="none"/>
          <w:lang w:val="en-US" w:eastAsia="zh-CN"/>
        </w:rPr>
        <w:t xml:space="preserve">医疗机构</w:t>
      </w:r>
      <w:r>
        <w:rPr>
          <w:rFonts w:hint="eastAsia" w:ascii="宋体" w:hAnsi="宋体" w:eastAsia="宋体" w:cs="宋体"/>
          <w:sz w:val="24"/>
          <w:szCs w:val="24"/>
          <w:highlight w:val="none"/>
        </w:rPr>
        <w:t xml:space="preserve">的要求向被保险人赔偿。</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2.10  理赔材料</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被保险人须提供的理赔材料：</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（2）人民调解书或相关人民法院法律文书；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（3）事故确认表；</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（4）医方授权委托书；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（5）伤者授权委托书及受托人身份证明；</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（6）伤者身份证明（包括未成年人在内的限制民事行为能力人或无民事行为能力人须提供其监护人身份证明），伤者死亡的须提供医学死亡证明或户口注销证明（复印件）；</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（7）伤者本人或委托代理人银行卡复印件；</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（8）委托转账支付授权书；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（9）病历材料，包括：门诊病历、出院记录、手术记录、涉及医药费赔偿的需提供医疗费票据；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（10）保险人直接向被保险人支付的，被保险人需提供已将理赔款支付给伤者或其代理人的凭证：收条、照片、银行转账凭证。</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2.11  本附加险方案未约定事项，以主险方案为准；保险机构保险条款中与本方案保险责任、扩展责任、责任免除、出险处理、理赔材料等不一致的以本方案规定为准。</w:t>
      </w:r>
      <w:r/>
    </w:p>
    <w:p>
      <w:pPr>
        <w:ind w:firstLine="643"/>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3．附加医务人员遭受伤害责任保险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3.1  投保人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3.2  被保险人</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3.3  保险期间</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年04月22日二十四时</w:t>
      </w:r>
      <w:r>
        <w:rPr>
          <w:rFonts w:hint="eastAsia" w:ascii="宋体" w:hAnsi="宋体" w:eastAsia="宋体" w:cs="宋体"/>
          <w:sz w:val="24"/>
          <w:szCs w:val="24"/>
          <w:highlight w:val="none"/>
          <w:lang w:val="en-US" w:eastAsia="zh-CN"/>
        </w:rPr>
        <w:t xml:space="preserve">止</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3.4  保险责任：</w:t>
      </w:r>
      <w:r>
        <w:rPr>
          <w:rFonts w:hint="eastAsia" w:ascii="宋体" w:hAnsi="宋体" w:eastAsia="宋体" w:cs="宋体"/>
          <w:bCs/>
          <w:sz w:val="24"/>
          <w:szCs w:val="24"/>
          <w:highlight w:val="none"/>
        </w:rPr>
        <w:t xml:space="preserve">在本保险合同列明的保险期间及承保区域范围内，被保险人的投保医务人员在从事与其资格相符的诊疗活动及医患纠纷处置过程中，因产生医疗纠纷而遭受患方的故意伤害，造成其人身伤害，依法应由被保险人承担民事赔偿责任时，保险人根据本附加保险合同的约定负责赔偿。</w:t>
      </w:r>
      <w:r/>
    </w:p>
    <w:p>
      <w:pPr>
        <w:ind w:firstLine="48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  责任免除</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由于下列各项引起的损失或责任，保险人不负责赔偿：</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（1）由于被保险人的投保医务人员自残、自杀、违法行为所致的人身伤害；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（2）被保险人的投保医务人员因非职业原因而受酒精或药剂的影响所导致的伤残或死亡；</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（3）被保险人直接或指使他人对其投保医务人员故意实施的人身伤害；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（4）被保险人对其承包商所雇佣雇员的责任；</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（5）被保险人对其投保医务人员的精神损害赔偿责任；</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（6）除保险单另有约定外，被保险人的投保医务人员在中华人民共和国境外及港、澳、台地区所发生的人身伤害。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对于任何财产损失及任何间接损失，保险人不负责赔偿。</w:t>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  赔偿项目及限额</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w:t>
      </w:r>
      <w:bookmarkStart w:id="818" w:name="OLE_LINK16"/>
      <w:r/>
      <w:bookmarkStart w:id="819" w:name="OLE_LINK15"/>
      <w:r>
        <w:rPr>
          <w:rFonts w:hint="eastAsia" w:ascii="宋体" w:hAnsi="宋体" w:eastAsia="宋体" w:cs="宋体"/>
          <w:color w:val="000000"/>
          <w:sz w:val="24"/>
          <w:szCs w:val="24"/>
          <w:highlight w:val="none"/>
        </w:rPr>
        <w:t xml:space="preserve">医疗机构年度累计赔偿限额：500万元</w:t>
      </w:r>
      <w:bookmarkEnd w:id="818"/>
      <w:r/>
      <w:bookmarkEnd w:id="819"/>
      <w:r>
        <w:rPr>
          <w:rFonts w:hint="eastAsia" w:ascii="宋体" w:hAnsi="宋体" w:eastAsia="宋体" w:cs="宋体"/>
          <w:color w:val="000000"/>
          <w:sz w:val="24"/>
          <w:szCs w:val="24"/>
          <w:highlight w:val="none"/>
        </w:rPr>
        <w:t xml:space="preserve">。</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w:t>
      </w:r>
      <w:bookmarkStart w:id="820" w:name="OLE_LINK18"/>
      <w:r>
        <w:rPr>
          <w:rFonts w:hint="eastAsia" w:ascii="宋体" w:hAnsi="宋体" w:eastAsia="宋体" w:cs="宋体"/>
          <w:color w:val="000000"/>
          <w:sz w:val="24"/>
          <w:szCs w:val="24"/>
          <w:highlight w:val="none"/>
        </w:rPr>
        <w:t xml:space="preserve">人员身故赔偿限额：80万元/人。</w:t>
      </w:r>
      <w:bookmarkEnd w:id="820"/>
      <w:r/>
      <w:r/>
    </w:p>
    <w:p>
      <w:pPr>
        <w:ind w:firstLine="420"/>
        <w:jc w:val="left"/>
        <w:spacing w:line="440" w:lineRule="exact"/>
        <w:tabs>
          <w:tab w:val="left" w:pos="22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w:t>
      </w:r>
      <w:bookmarkStart w:id="821" w:name="OLE_LINK20"/>
      <w:r>
        <w:rPr>
          <w:rFonts w:hint="eastAsia" w:ascii="宋体" w:hAnsi="宋体" w:eastAsia="宋体" w:cs="宋体"/>
          <w:color w:val="000000"/>
          <w:sz w:val="24"/>
          <w:szCs w:val="24"/>
          <w:highlight w:val="none"/>
        </w:rPr>
        <w:t xml:space="preserve">人员残疾赔偿限额</w:t>
      </w:r>
      <w:bookmarkEnd w:id="821"/>
      <w:r>
        <w:rPr>
          <w:rFonts w:hint="eastAsia" w:ascii="宋体" w:hAnsi="宋体" w:eastAsia="宋体" w:cs="宋体"/>
          <w:color w:val="000000"/>
          <w:sz w:val="24"/>
          <w:szCs w:val="24"/>
          <w:highlight w:val="none"/>
        </w:rPr>
        <w:t xml:space="preserve">：80万元/人/年。</w:t>
      </w:r>
      <w:r/>
    </w:p>
    <w:p>
      <w:pPr>
        <w:ind w:firstLine="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根据《劳动能力鉴定 职工工伤与职业病致残等级》（GB/T16180-2014）所对应的伤残等级与下列“伤残等级赔偿限额比例表”相对应的比例乘以每人伤残赔偿限额所得金额进行赔偿。</w:t>
      </w:r>
      <w:r/>
    </w:p>
    <w:tbl>
      <w:tblPr>
        <w:tblStyle w:val="863"/>
        <w:tblW w:w="5000" w:type="pct"/>
        <w:jc w:val="center"/>
        <w:tblLayout w:type="autofit"/>
        <w:tblCellMar>
          <w:left w:w="0" w:type="dxa"/>
          <w:top w:w="0" w:type="dxa"/>
          <w:right w:w="0" w:type="dxa"/>
          <w:bottom w:w="0" w:type="dxa"/>
        </w:tblCellMar>
        <w:tblLook w:val="04A0" w:firstRow="1" w:lastRow="0" w:firstColumn="1" w:lastColumn="0" w:noHBand="0" w:noVBand="1"/>
      </w:tblPr>
      <w:tblGrid>
        <w:gridCol w:w="4256"/>
        <w:gridCol w:w="4846"/>
      </w:tblGrid>
      <w:tr>
        <w:trPr>
          <w:jc w:val="center"/>
          <w:trHeight w:val="3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伤残等级赔偿限额比例表</w:t>
            </w:r>
            <w:r/>
          </w:p>
        </w:tc>
      </w:tr>
      <w:tr>
        <w:trPr>
          <w:jc w:val="cente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比例</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100%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二级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90%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三级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80%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70%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60%</w:t>
            </w:r>
            <w:r/>
          </w:p>
        </w:tc>
      </w:tr>
      <w:tr>
        <w:trPr>
          <w:jc w:val="center"/>
          <w:trHeight w:val="1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50%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40%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30%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20%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10%</w:t>
            </w:r>
            <w:r/>
          </w:p>
        </w:tc>
      </w:tr>
    </w:tbl>
    <w:p>
      <w:pPr>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w:t>
      </w:r>
      <w:r>
        <w:rPr>
          <w:rFonts w:hint="eastAsia" w:ascii="宋体" w:hAnsi="宋体" w:eastAsia="宋体" w:cs="宋体"/>
          <w:b/>
          <w:bCs/>
          <w:color w:val="000000"/>
          <w:sz w:val="24"/>
          <w:szCs w:val="24"/>
          <w:highlight w:val="none"/>
        </w:rPr>
        <w:t xml:space="preserve">本附加险赔偿份额不计算在各医疗机构医疗责任保险主险年度累计赔偿限额中，应另行计算。</w:t>
      </w:r>
      <w:r/>
    </w:p>
    <w:p>
      <w:pPr>
        <w:ind w:firstLine="420"/>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  </w:t>
      </w:r>
      <w:r>
        <w:rPr>
          <w:rFonts w:hint="eastAsia" w:ascii="宋体" w:hAnsi="宋体" w:eastAsia="宋体" w:cs="宋体"/>
          <w:b/>
          <w:sz w:val="24"/>
          <w:szCs w:val="24"/>
          <w:highlight w:val="none"/>
        </w:rPr>
        <w:t xml:space="preserve">本附加保险无免赔额或免赔率。</w:t>
      </w:r>
      <w:r/>
    </w:p>
    <w:p>
      <w:pPr>
        <w:ind w:firstLine="496"/>
        <w:jc w:val="left"/>
        <w:spacing w:line="440" w:lineRule="exact"/>
        <w:tabs>
          <w:tab w:val="left" w:pos="2256"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  理赔材料</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（2）公安部门出具的报案证明；</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（3）造成残疾的，应提供鉴定机构出具的鉴定书；</w:t>
      </w:r>
      <w:r/>
    </w:p>
    <w:p>
      <w:pPr>
        <w:ind w:left="496"/>
        <w:jc w:val="left"/>
        <w:spacing w:line="440" w:lineRule="exact"/>
        <w:tabs>
          <w:tab w:val="left" w:pos="2256" w:leader="none"/>
          <w:tab w:val="left" w:pos="65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（4）造成死亡的，应提供死亡证明、户籍注销证明。</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  本附加险方案未约定事项，以主险方案为准；保险机构保险条款中与本方案保险责任、扩展责任、责任免除、出险处理、理赔材料等不一致的以本方案规定为准。</w:t>
      </w:r>
      <w:r/>
    </w:p>
    <w:p>
      <w:pPr>
        <w:ind w:firstLine="56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（Ⅱ）医疗机构财产险项目</w:t>
      </w:r>
      <w:r/>
    </w:p>
    <w:p>
      <w:pPr>
        <w:ind w:firstLine="640"/>
        <w:jc w:val="left"/>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1.财产综合险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投保人：</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保险标的：保险合同载明地址中的财产（扣除机动车辆）。</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b w:val="0"/>
          <w:bCs w:val="0"/>
          <w:sz w:val="24"/>
          <w:szCs w:val="24"/>
          <w:highlight w:val="none"/>
        </w:rPr>
        <w:t xml:space="preserve">保险期间：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right="211" w:firstLine="420"/>
        <w:jc w:val="left"/>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color w:val="000000"/>
          <w:sz w:val="24"/>
          <w:szCs w:val="24"/>
          <w:highlight w:val="none"/>
        </w:rPr>
        <w:t xml:space="preserve">1.5  保险金额：</w:t>
      </w:r>
      <w:r>
        <w:rPr>
          <w:rFonts w:hint="eastAsia" w:ascii="宋体" w:hAnsi="宋体" w:cs="宋体"/>
          <w:color w:val="000000"/>
          <w:sz w:val="24"/>
          <w:szCs w:val="24"/>
          <w:highlight w:val="none"/>
          <w:lang w:val="en-US" w:eastAsia="zh-CN"/>
        </w:rPr>
        <w:t xml:space="preserve">首年</w:t>
      </w:r>
      <w:r>
        <w:rPr>
          <w:rFonts w:hint="eastAsia" w:ascii="宋体" w:hAnsi="宋体" w:eastAsia="宋体" w:cs="宋体"/>
          <w:b w:val="0"/>
          <w:bCs w:val="0"/>
          <w:sz w:val="24"/>
          <w:szCs w:val="24"/>
          <w:highlight w:val="none"/>
          <w:lang w:val="en-US" w:eastAsia="zh-CN"/>
        </w:rPr>
        <w:t xml:space="preserve">108708.54万元</w:t>
      </w:r>
      <w:r>
        <w:rPr>
          <w:rFonts w:hint="eastAsia" w:ascii="宋体" w:hAnsi="宋体" w:cs="宋体"/>
          <w:b w:val="0"/>
          <w:bCs w:val="0"/>
          <w:sz w:val="24"/>
          <w:szCs w:val="24"/>
          <w:highlight w:val="none"/>
          <w:lang w:val="en-US" w:eastAsia="zh-CN"/>
        </w:rPr>
        <w:t xml:space="preserve">，第二年按实际调整</w:t>
      </w:r>
      <w:r>
        <w:rPr>
          <w:rFonts w:hint="eastAsia" w:ascii="宋体" w:hAnsi="宋体" w:eastAsia="宋体" w:cs="宋体"/>
          <w:b w:val="0"/>
          <w:bCs w:val="0"/>
          <w:sz w:val="24"/>
          <w:szCs w:val="24"/>
          <w:highlight w:val="none"/>
          <w:lang w:eastAsia="zh-CN"/>
        </w:rPr>
        <w:t xml:space="preserve">。</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1.6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  在保险期间内，由于下列原因造成保险标的的损失，保险人按照本保险合同的约定负责赔偿：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（1）火灾、爆炸；</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雷击、暴雨、洪水、暴风、龙卷风、冰雹、台风、飓风、暴雪、冰凌、突发性滑坡、崩塌、泥石流、地面突然下陷下沉；</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（3）飞行物体及其他空中运行物体坠落。</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前款原因造成的保险事故发生时，为抢救保险标的或防止灾害蔓延，采取必要的、合理的措施而造成保险标的的损失，保险人按照本保险合同的约定也负责赔偿。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  被保险人拥有财产所有权的自用的供电、供水、供气设备因保险事故遭受损坏，引起停电、停水、停气以致造成保险标的直接损失，保险人按照本保险合同的约定也负责赔偿。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  保险事故发生后，被保险人为防止或减少保险标的的损失所支付的必要的、合理的费用，保险人按照本保险合同的约定也负责赔偿。</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1.7  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  自动喷淋系统水损条款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本保险扩展承保本保险单明细表中列明的被保险财产因喷淋系统的突然破裂、失灵造成该财产的水损（或水污损失）。</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  附加水暖管爆裂保险条款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条款对本保险单承保的水暖管因火灾、爆炸、雷击、飞行物体及其他空中运行物体坠落、高压、碰撞、严寒、高温造成水暖管爆裂，致使被保险人的水暖管本身损失以及其他保险财产遭受水淹、浸湿、腐蚀的损失，保险人以本保险单中列明的保险金额为限按实际损失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1.7.3  恶意破坏扩展条款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本保险扩展承保本保险单明细表中列明的保险财产因他人的恶意破坏所致的损失。</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1.7.4  自动恢复保险金额条款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在保险公司对保险单明细表中列明的被保险财产的损失予以赔偿后，原保险金额自动恢复。</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1.7.5  增加资产条款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鉴于被保险人在投保资产原值基础上附加了5%增值部分，本保险扩展承保本保险生效后被保险人在中华人民共和国境内所增加的全部资产，但不包括财产的自动升值。</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1.7.6  紧急抢险条款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1.7.7</w:t>
      </w:r>
      <w:r>
        <w:rPr>
          <w:rFonts w:hint="eastAsia" w:ascii="宋体" w:hAnsi="宋体" w:eastAsia="宋体" w:cs="宋体"/>
          <w:color w:val="000000"/>
          <w:sz w:val="24"/>
          <w:szCs w:val="24"/>
          <w:highlight w:val="none"/>
        </w:rPr>
        <w:t xml:space="preserve">广告牌、告示牌及装饰物扩展条款</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在被保险人列明地点及地点之外的，被保险人所有的广告标志及装饰物因主险保险责任范围内的事故造成的财产损失，保险人按照本保险合同的约定负责赔偿。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1.7.8 露天及简易建筑内存放财产扩展条款</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由于暴风、暴雨、龙卷风、台风、飓风、雷电、冰雹、暴雪、冰凌、洪水造成的存放于露天或简易建筑内的保险标的的损失，保险人按照本保险合同的约定负责赔偿。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1.7.9锅炉、压力容器扩展条款</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在本保险合同中载明的保险标的地址内，被保险人所有的或管控的锅炉、压力容器在正常使用过程中，由于下列原因造成自身的损失，保险人按照本保险合同的约定负责赔偿：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（一）操作不当；</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（二）爆炸。</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1.8  </w:t>
      </w:r>
      <w:r>
        <w:rPr>
          <w:rFonts w:hint="eastAsia" w:ascii="宋体" w:hAnsi="宋体" w:eastAsia="宋体" w:cs="宋体"/>
          <w:b/>
          <w:bCs/>
          <w:sz w:val="24"/>
          <w:szCs w:val="24"/>
          <w:highlight w:val="none"/>
        </w:rPr>
        <w:t xml:space="preserve">责任免除</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1.8.1  下列原因造成的损失、费用，保险人不负责赔偿：</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（1）投保人、被保险人及其代表的故意或重大过失行为；</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（2）行政行为或司法行为； </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（3）战争、类似战争行为、敌对行动、军事行动、武装冲突、罢工、骚乱、暴动、政变、谋反、恐怖活动； </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（4）地震、海啸及其次生灾害；</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（5）核辐射、核裂变、核聚变、核污染及其他放射性污染；</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（6）大气污染、土地污染、水污染及其他非放射性污染，但因保险事故造成的非放射性污染不在此限；</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（7）保险标的的内在或潜在缺陷、自然磨损、自然损耗，大气（气候或气温）变化、正常水位变化或其他渐变原因，物质本身变化、霉烂、受潮、鼠咬、虫蛀、鸟啄、氧化、锈蚀、渗漏、自燃、烘焙；</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（8）盗窃、抢劫。</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1.8.2  下列损失、费用，保险人也不负责赔偿：</w:t>
      </w:r>
      <w:r/>
    </w:p>
    <w:p>
      <w:pPr>
        <w:ind w:left="480" w:right="2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（1）保险标的遭受保险事故引起的各种间接损失；</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（2）本保险合同中载明的免赔额。</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免赔额或免赔率</w:t>
      </w:r>
      <w:r/>
    </w:p>
    <w:p>
      <w:pPr>
        <w:ind w:right="211"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bookmarkStart w:id="822" w:name="OLE_LINK23"/>
      <w:r>
        <w:rPr>
          <w:rFonts w:hint="eastAsia" w:ascii="宋体" w:hAnsi="宋体" w:eastAsia="宋体" w:cs="宋体"/>
          <w:sz w:val="24"/>
          <w:szCs w:val="24"/>
          <w:highlight w:val="none"/>
        </w:rPr>
        <w:t xml:space="preserve">绝对免赔额：10000元/次。</w:t>
      </w:r>
      <w:bookmarkEnd w:id="822"/>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免赔率：无。</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1.10  出险处理</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1.10.2  除非有合理和足够的证据证明，保险人不得以任何理由推卸、拖延甚至拒绝被保险人、采购人委托的第三方保险经纪公司的索赔要求，否则其行为构成违约，并须承担违约责任。保险人未按上述1.10.1要求完成赔付的，按赔偿金额的0.657‰/日×实际滞纳天数计算滞纳金赔付给被保险人，并承担由此造成的其他损失</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被保险人应尽可能为保险人、公估人调查和取证工作保留事故现场；对无法留待保险人、公估人查勘的事故现场，被保险人应尽可能留下照片、录像、文字记录供保险人审核之用。</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1.11  理赔材料</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索赔申请；</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事故报告说明；</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维修合同、发票原件；</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损失清单及金额。</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1.12  保险机构保险条款中与本方案保险责任、扩展责任、责任免除、出险处理、理赔材料等不一致的以本方案规定为准。</w:t>
      </w:r>
      <w:r/>
    </w:p>
    <w:p>
      <w:pPr>
        <w:ind w:firstLine="640"/>
        <w:jc w:val="left"/>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2．机器损坏险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投保人：</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被保险人：</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2.3  保险标的：各医疗机构专用设备、通用设备等（扣除机</w:t>
      </w:r>
      <w:r>
        <w:rPr>
          <w:rFonts w:hint="eastAsia" w:ascii="宋体" w:hAnsi="宋体" w:eastAsia="宋体" w:cs="宋体"/>
          <w:color w:val="000000"/>
          <w:sz w:val="24"/>
          <w:szCs w:val="24"/>
          <w:highlight w:val="none"/>
        </w:rPr>
        <w:t xml:space="preserve">动车辆）。</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val="0"/>
          <w:bCs w:val="0"/>
          <w:sz w:val="24"/>
          <w:szCs w:val="24"/>
          <w:highlight w:val="none"/>
        </w:rPr>
        <w:t xml:space="preserve">保险期间：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保险金额：</w:t>
      </w:r>
      <w:r>
        <w:rPr>
          <w:rFonts w:hint="eastAsia" w:ascii="宋体" w:hAnsi="宋体" w:cs="宋体"/>
          <w:color w:val="000000"/>
          <w:sz w:val="24"/>
          <w:szCs w:val="24"/>
          <w:highlight w:val="none"/>
          <w:lang w:val="en-US" w:eastAsia="zh-CN"/>
        </w:rPr>
        <w:t xml:space="preserve">首年</w:t>
      </w:r>
      <w:r>
        <w:rPr>
          <w:rFonts w:hint="eastAsia" w:ascii="宋体" w:hAnsi="宋体" w:eastAsia="宋体" w:cs="宋体"/>
          <w:color w:val="000000"/>
          <w:sz w:val="24"/>
          <w:szCs w:val="24"/>
          <w:highlight w:val="none"/>
          <w:lang w:val="en-US" w:eastAsia="zh-CN"/>
        </w:rPr>
        <w:t xml:space="preserve">9588.10万元</w:t>
      </w:r>
      <w:r>
        <w:rPr>
          <w:rFonts w:hint="eastAsia" w:ascii="宋体" w:hAnsi="宋体" w:cs="宋体"/>
          <w:color w:val="000000"/>
          <w:sz w:val="24"/>
          <w:szCs w:val="24"/>
          <w:highlight w:val="none"/>
          <w:lang w:val="en-US" w:eastAsia="zh-CN"/>
        </w:rPr>
        <w:t xml:space="preserve">，第二年按实际调整</w:t>
      </w:r>
      <w:r>
        <w:rPr>
          <w:rFonts w:hint="eastAsia" w:ascii="宋体" w:hAnsi="宋体" w:eastAsia="宋体" w:cs="宋体"/>
          <w:color w:val="000000"/>
          <w:sz w:val="24"/>
          <w:szCs w:val="24"/>
          <w:highlight w:val="none"/>
          <w:lang w:val="en-US" w:eastAsia="zh-CN"/>
        </w:rPr>
        <w:t xml:space="preserve">。</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  保险责任</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在保险期间内，因下列原因引起或构成突然的、不可预料的意外事故造成的物质损坏或灭失(以下简称“损失”)，保险人按照本保险合同的约定负责赔偿：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（1）设计、制造或安装错误、铸造和原材料缺陷；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（2）工人、技术人员操作错误、缺乏经验、技术不善、疏忽、过失、恶意行为；</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（3）离心力引起的断裂；</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（4）超负荷、超电压、碰线、电弧、漏电、短路、大气放电、感应电及其他电气原因；</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（5）除本条款中“2.8责任免除”规定以外的其他原因。</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保险事故发生后，被保险人为防止或减少保险标的的损失所支付的必要的、合理的费用，保险人按照本保险合同的约定也负责赔偿。</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2.7  扩展条款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增加资产条款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鉴于被保险人在投保资产原值基础上附加了5%增值部分，本保险扩展承保本保险生效后被保险人在中华人民共和国境内新增加的全部资产，但不包括财产的自动升值。</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紧急抢险条款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  责任免除</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2.8.1  下列原因造成的损失、费用，保险人不负责赔偿：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（1）被保险人及其代表的故意行为或重大过失；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（2）被保险人及其代表已经知道或应该知道的保险机器及其附属设备在本保险开始前已经存在的缺点或缺陷；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（3）战争、类似战争行为、敌对行为、军事行为、武装冲突、恐怖活动、谋反、政变、罢工、暴动、骚乱；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（4）政府命令或任何公共当局没收、征用、销毁或毁坏；</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（5）核裂变、核聚变、核武器、核材料、核辐射及放射性污染；</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（6）机器设备运行必然引起的后果，如自然磨损、氧化、腐蚀、锈蚀、孔蚀、锅垢等物理性变化或化学反应；</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（7）由于公共设施部门的限制性供应及故意行为或非意外事故引起的停电、停气、停水；</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（8）火灾、爆炸；</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（9）地震、海啸及其次生灾害；</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（10）雷击、飓风、台风、龙卷风、暴风、暴雨、洪水、冰雹、地崩、山崩、雪崩、火山爆发、地面下陷下沉及其他自然灾害；</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（11）飞机坠毁、飞机部件或飞机物体坠落；</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（12）机动车碰撞；</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（13）水箱、水管爆裂；</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（14）虫蛀、鼠咬、鸟啄。</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2.8.2  下列损失、费用，保险人也不负责赔偿：</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（1）保险事故发生后引起的各种间接损失或费用；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（2）根据法律或契约应由供货方、制造人、安装人或修理人负责的损失或费用；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（3）保险机器设备在修复或重置过程中发生的任何变更、性能增加或改进所产生的额外费用；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（4）本保险合同中载明的免赔额。</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2.9  免赔额或免赔率 </w:t>
      </w:r>
      <w:r/>
    </w:p>
    <w:p>
      <w:pPr>
        <w:ind w:right="211"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w:t>
      </w:r>
      <w:bookmarkStart w:id="823" w:name="OLE_LINK29"/>
      <w:r>
        <w:rPr>
          <w:rFonts w:hint="eastAsia" w:ascii="宋体" w:hAnsi="宋体" w:eastAsia="宋体" w:cs="宋体"/>
          <w:sz w:val="24"/>
          <w:szCs w:val="24"/>
          <w:highlight w:val="none"/>
        </w:rPr>
        <w:t xml:space="preserve">绝对免赔额：10000元/次。</w:t>
      </w:r>
      <w:bookmarkEnd w:id="823"/>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免赔率：无。</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2.10  出险处理</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2.10.2  除非有合理和足够的证据证明，保险人不得以任何理由推卸、拖延甚至拒绝被保险人、采购人委托的第三方保险经纪公司的索赔要求，否则其行为构成违约，并须承担违约责任。保险人未按上述2.10.1要求完成赔付的，按赔偿金额的0.657‰/日×实际滞纳天数计算滞纳金赔付给被保险人，并承担由此造成的其他损失</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2.10.3  被保险人应尽可能为保险人、公估人调查和取证工作保留事故现场；对无法留待保险人、公估人查勘的事故现场，被保险人应尽可能留下照片、录像、文字记录供保险人审核之用。</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2.11  理赔材料</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（1）索赔申请；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（2）事故报告说明；</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（3）维修合同、发票原件；</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（4）损失清单及金额；</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受损标的设备登记记录。</w:t>
      </w:r>
      <w:r/>
    </w:p>
    <w:p>
      <w:pPr>
        <w:ind w:firstLine="42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2.12  保险机构保险条款中与本方案保险责任、扩展责任、责任免除、出险处理、理赔材料等不一致的以本方案规定为准。</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附件提供的相关信息数据只用于保险公司参与本次投标，保险公司不得将本次项目所提供的信息数据向新闻媒体或任一其他方予以公开披露，也不能将本次项目所提供的信息数据用于其他任何目的，保险公司需严格遵守保密义务。</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6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855"/>
        <w:gridCol w:w="995"/>
        <w:gridCol w:w="1273"/>
        <w:gridCol w:w="936"/>
        <w:gridCol w:w="991"/>
        <w:gridCol w:w="1121"/>
        <w:gridCol w:w="1097"/>
        <w:gridCol w:w="1467"/>
      </w:tblGrid>
      <w:tr>
        <w:trPr>
          <w:jc w:val="center"/>
          <w:trHeight w:val="1000"/>
        </w:trPr>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医院机构名称</w:t>
            </w:r>
            <w:r/>
          </w:p>
        </w:tc>
        <w:tc>
          <w:tcPr>
            <w:tcBorders>
              <w:top w:val="single" w:color="000000" w:sz="8" w:space="0"/>
              <w:left w:val="single" w:color="000000" w:sz="8" w:space="0"/>
              <w:bottom w:val="single" w:color="000000" w:sz="8" w:space="0"/>
              <w:right w:val="single" w:color="000000" w:sz="8" w:space="0"/>
            </w:tcBorders>
            <w:tcW w:w="53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医院级别</w:t>
            </w:r>
            <w:r/>
          </w:p>
        </w:tc>
        <w:tc>
          <w:tcPr>
            <w:tcBorders>
              <w:top w:val="single" w:color="000000" w:sz="8"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临床手术科室医师人数（人）</w:t>
            </w:r>
            <w:r/>
          </w:p>
        </w:tc>
        <w:tc>
          <w:tcPr>
            <w:tcBorders>
              <w:top w:val="single" w:color="000000" w:sz="8" w:space="0"/>
              <w:left w:val="single" w:color="000000" w:sz="8" w:space="0"/>
              <w:bottom w:val="single" w:color="000000" w:sz="8" w:space="0"/>
              <w:right w:val="single" w:color="000000" w:sz="8" w:space="0"/>
            </w:tcBorders>
            <w:tcW w:w="50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临床非手术科室医师人数（人）</w:t>
            </w:r>
            <w:r/>
          </w:p>
        </w:tc>
        <w:tc>
          <w:tcPr>
            <w:tcBorders>
              <w:top w:val="single" w:color="000000" w:sz="8" w:space="0"/>
              <w:left w:val="single" w:color="000000" w:sz="8" w:space="0"/>
              <w:bottom w:val="single" w:color="000000" w:sz="8" w:space="0"/>
              <w:right w:val="single" w:color="000000" w:sz="8" w:space="0"/>
            </w:tcBorders>
            <w:tcW w:w="53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护士及医技、药剂科室人数（人）</w:t>
            </w:r>
            <w:r/>
          </w:p>
        </w:tc>
        <w:tc>
          <w:tcPr>
            <w:tcBorders>
              <w:top w:val="single" w:color="000000" w:sz="8" w:space="0"/>
              <w:left w:val="single" w:color="000000" w:sz="8" w:space="0"/>
              <w:bottom w:val="single" w:color="000000" w:sz="8" w:space="0"/>
              <w:right w:val="single" w:color="000000" w:sz="8" w:space="0"/>
            </w:tcBorders>
            <w:tcW w:w="60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医务人员合计人数（人）</w:t>
            </w:r>
            <w:r/>
          </w:p>
        </w:tc>
        <w:tc>
          <w:tcPr>
            <w:tcBorders>
              <w:top w:val="single" w:color="000000" w:sz="8" w:space="0"/>
              <w:left w:val="single" w:color="000000" w:sz="8" w:space="0"/>
              <w:bottom w:val="single" w:color="000000" w:sz="8" w:space="0"/>
              <w:right w:val="single" w:color="000000" w:sz="8" w:space="0"/>
            </w:tcBorders>
            <w:tcW w:w="5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床位数（床）</w:t>
            </w:r>
            <w:r/>
          </w:p>
        </w:tc>
        <w:tc>
          <w:tcPr>
            <w:tcBorders>
              <w:top w:val="single" w:color="000000" w:sz="8" w:space="0"/>
              <w:left w:val="single" w:color="000000" w:sz="8" w:space="0"/>
              <w:bottom w:val="single" w:color="000000" w:sz="8" w:space="0"/>
              <w:right w:val="single" w:color="000000" w:sz="8" w:space="0"/>
            </w:tcBorders>
            <w:tcW w:w="78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预估手术台数（台）</w:t>
            </w:r>
            <w:r/>
          </w:p>
        </w:tc>
      </w:tr>
      <w:tr>
        <w:trPr>
          <w:jc w:val="center"/>
          <w:trHeight w:val="760"/>
        </w:trPr>
        <w:tc>
          <w:tcPr>
            <w:tcBorders>
              <w:top w:val="none" w:color="000000" w:sz="4"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none" w:color="000000" w:sz="4"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三院</w:t>
            </w:r>
            <w:r/>
          </w:p>
        </w:tc>
        <w:tc>
          <w:tcPr>
            <w:tcBorders>
              <w:top w:val="none" w:color="000000" w:sz="4" w:space="0"/>
              <w:left w:val="single" w:color="000000" w:sz="8" w:space="0"/>
              <w:bottom w:val="single" w:color="000000" w:sz="8" w:space="0"/>
              <w:right w:val="single" w:color="000000" w:sz="8" w:space="0"/>
            </w:tcBorders>
            <w:tcW w:w="53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三级</w:t>
            </w:r>
            <w:r>
              <w:rPr>
                <w:rFonts w:hint="eastAsia" w:ascii="宋体" w:hAnsi="宋体" w:eastAsia="宋体" w:cs="宋体"/>
                <w:color w:val="000000"/>
                <w:sz w:val="24"/>
                <w:szCs w:val="24"/>
                <w:highlight w:val="none"/>
                <w:lang w:val="en-US" w:eastAsia="zh-CN"/>
              </w:rPr>
              <w:t xml:space="preserve">甲等</w:t>
            </w:r>
            <w:r/>
          </w:p>
        </w:tc>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129</w:t>
            </w:r>
            <w:r/>
          </w:p>
        </w:tc>
        <w:tc>
          <w:tcPr>
            <w:tcBorders>
              <w:top w:val="none" w:color="000000" w:sz="4" w:space="0"/>
              <w:left w:val="single" w:color="000000" w:sz="8" w:space="0"/>
              <w:bottom w:val="single" w:color="000000" w:sz="8" w:space="0"/>
              <w:right w:val="single" w:color="000000" w:sz="8" w:space="0"/>
            </w:tcBorders>
            <w:tcW w:w="50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p>
        </w:tc>
        <w:tc>
          <w:tcPr>
            <w:tcBorders>
              <w:top w:val="none" w:color="000000" w:sz="4" w:space="0"/>
              <w:left w:val="single" w:color="000000" w:sz="8" w:space="0"/>
              <w:bottom w:val="single" w:color="000000" w:sz="8" w:space="0"/>
              <w:right w:val="single" w:color="000000" w:sz="8" w:space="0"/>
            </w:tcBorders>
            <w:tcW w:w="533"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641</w:t>
            </w:r>
            <w:r/>
          </w:p>
        </w:tc>
        <w:tc>
          <w:tcPr>
            <w:tcBorders>
              <w:top w:val="none" w:color="000000" w:sz="4" w:space="0"/>
              <w:left w:val="single" w:color="000000" w:sz="8" w:space="0"/>
              <w:bottom w:val="single" w:color="000000" w:sz="8" w:space="0"/>
              <w:right w:val="single" w:color="000000" w:sz="8" w:space="0"/>
            </w:tcBorders>
            <w:tcW w:w="603"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913</w:t>
            </w:r>
            <w:r/>
          </w:p>
        </w:tc>
        <w:tc>
          <w:tcPr>
            <w:tcBorders>
              <w:top w:val="none" w:color="000000" w:sz="4" w:space="0"/>
              <w:left w:val="single" w:color="000000" w:sz="8" w:space="0"/>
              <w:bottom w:val="single" w:color="000000" w:sz="8" w:space="0"/>
              <w:right w:val="single" w:color="000000" w:sz="8" w:space="0"/>
            </w:tcBorders>
            <w:tcW w:w="5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906</w:t>
            </w:r>
            <w:r/>
          </w:p>
        </w:tc>
        <w:tc>
          <w:tcPr>
            <w:tcBorders>
              <w:top w:val="none" w:color="000000" w:sz="4" w:space="0"/>
              <w:left w:val="single" w:color="000000" w:sz="8" w:space="0"/>
              <w:bottom w:val="single" w:color="000000" w:sz="8" w:space="0"/>
              <w:right w:val="single" w:color="000000" w:sz="8" w:space="0"/>
            </w:tcBorders>
            <w:tcW w:w="78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20000</w:t>
            </w:r>
            <w:r/>
          </w:p>
        </w:tc>
      </w:tr>
    </w:tbl>
    <w:p>
      <w:pPr>
        <w:pStyle w:val="1268"/>
        <w:spacing w:line="360" w:lineRule="auto"/>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r>
      <w:r/>
    </w:p>
    <w:tbl>
      <w:tblPr>
        <w:tblStyle w:val="863"/>
        <w:tblpPr w:horzAnchor="page" w:tblpX="1794" w:vertAnchor="text" w:tblpY="450"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1343"/>
        <w:gridCol w:w="1219"/>
        <w:gridCol w:w="1835"/>
        <w:gridCol w:w="1835"/>
        <w:gridCol w:w="2400"/>
      </w:tblGrid>
      <w:tr>
        <w:trPr>
          <w:trHeight w:val="69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常州市市区公立医疗机构拟投保财产综合险数据</w:t>
            </w:r>
            <w:r/>
          </w:p>
        </w:tc>
      </w:tr>
      <w:tr>
        <w:trPr>
          <w:trHeight w:val="7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地址（多地址需列明）</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固定资产（单位：万元）</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存货（单位：万元）</w:t>
            </w:r>
            <w:r/>
          </w:p>
        </w:tc>
        <w:tc>
          <w:tcPr>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固定资产加成5%+存货总额（单位：万元）</w:t>
            </w:r>
            <w:r/>
          </w:p>
        </w:tc>
      </w:tr>
      <w:tr>
        <w:trPr>
          <w:trHeight w:val="48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三院</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lang w:val="en-US" w:eastAsia="zh-CN"/>
              </w:rPr>
              <w:t xml:space="preserve">一</w:t>
            </w:r>
            <w:r>
              <w:rPr>
                <w:rFonts w:hint="eastAsia" w:ascii="宋体" w:hAnsi="宋体" w:eastAsia="宋体" w:cs="宋体"/>
                <w:color w:val="000000"/>
                <w:sz w:val="24"/>
                <w:szCs w:val="24"/>
                <w:highlight w:val="none"/>
                <w:shd w:val="clear" w:color="auto"/>
              </w:rPr>
              <w:t xml:space="preserve">处</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101161.36</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2489.11</w:t>
            </w:r>
            <w:r/>
          </w:p>
        </w:tc>
        <w:tc>
          <w:tcPr>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108708.54</w:t>
            </w:r>
            <w:r/>
          </w:p>
        </w:tc>
      </w:tr>
    </w:tbl>
    <w:p>
      <w:pPr>
        <w:pStyle w:val="1268"/>
        <w:ind w:left="0"/>
        <w:spacing w:line="360" w:lineRule="auto"/>
        <w:rPr>
          <w:rFonts w:hint="eastAsia" w:ascii="宋体" w:hAnsi="宋体" w:eastAsia="宋体" w:cs="宋体"/>
          <w:highlight w:val="none"/>
          <w:lang w:eastAsia="zh-CN"/>
        </w:rPr>
        <w:outlineLvl w:val="1"/>
      </w:pPr>
      <w:r>
        <w:rPr>
          <w:rFonts w:hint="eastAsia" w:ascii="宋体" w:hAnsi="宋体" w:eastAsia="宋体" w:cs="宋体"/>
          <w:highlight w:val="none"/>
          <w:lang w:eastAsia="zh-CN"/>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注：1.扣除机动车辆；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2.固定资产以202</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年12月期末原值为准；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3.存货以202</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年12月期末余额为准；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4.保费按照上表列明保险金额计算。</w:t>
      </w:r>
      <w:r/>
    </w:p>
    <w:tbl>
      <w:tblPr>
        <w:tblStyle w:val="863"/>
        <w:tblpPr w:horzAnchor="page" w:tblpX="1794" w:vertAnchor="text" w:tblpY="448" w:leftFromText="180" w:topFromText="0" w:rightFromText="180" w:bottomFromText="0"/>
        <w:tblW w:w="5127" w:type="pct"/>
        <w:tblInd w:w="0" w:type="dxa"/>
        <w:tblLayout w:type="autofit"/>
        <w:tblCellMar>
          <w:left w:w="108" w:type="dxa"/>
          <w:top w:w="0" w:type="dxa"/>
          <w:right w:w="108" w:type="dxa"/>
          <w:bottom w:w="0" w:type="dxa"/>
        </w:tblCellMar>
        <w:tblLook w:val="04A0" w:firstRow="1" w:lastRow="0" w:firstColumn="1" w:lastColumn="0" w:noHBand="0" w:noVBand="1"/>
      </w:tblPr>
      <w:tblGrid>
        <w:gridCol w:w="762"/>
        <w:gridCol w:w="1893"/>
        <w:gridCol w:w="3423"/>
        <w:gridCol w:w="3446"/>
      </w:tblGrid>
      <w:tr>
        <w:trPr>
          <w:trHeight w:val="54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常州市市区公立医疗机构拟投保机器设备损坏险数据</w:t>
            </w:r>
            <w:r/>
          </w:p>
        </w:tc>
      </w:tr>
      <w:tr>
        <w:trPr>
          <w:trHeight w:val="82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投保机器设备（单位：万元）</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加成5%后总额（单位：万元）</w:t>
            </w:r>
            <w:r/>
          </w:p>
        </w:tc>
      </w:tr>
      <w:tr>
        <w:trPr>
          <w:trHeight w:val="5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三院</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9131.52</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9588.10</w:t>
            </w:r>
            <w:r/>
          </w:p>
        </w:tc>
      </w:tr>
    </w:tbl>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注：1.扣除机动车辆；</w:t>
      </w:r>
      <w:r/>
    </w:p>
    <w:p>
      <w:pPr>
        <w:ind w:firstLine="422"/>
        <w:spacing w:line="360" w:lineRule="auto"/>
        <w:rPr>
          <w:rFonts w:hint="eastAsia" w:ascii="宋体" w:hAnsi="宋体" w:eastAsia="宋体" w:cs="宋体"/>
          <w:b/>
          <w:highlight w:val="none"/>
        </w:rPr>
      </w:pPr>
      <w:r>
        <w:rPr>
          <w:rFonts w:hint="eastAsia" w:ascii="宋体" w:hAnsi="宋体" w:eastAsia="宋体" w:cs="宋体"/>
          <w:b/>
          <w:highlight w:val="none"/>
        </w:rPr>
        <w:t xml:space="preserve">2.以202</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年12月期末原值为准；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3.保费按照上表列明保险金额计算。</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第六章   拟签订的合同文本</w:t>
      </w:r>
      <w:bookmarkEnd w:id="814"/>
      <w:r/>
      <w:r/>
    </w:p>
    <w:p>
      <w:pPr>
        <w:ind w:firstLine="480"/>
        <w:spacing w:line="360" w:lineRule="auto"/>
        <w:rPr>
          <w:rFonts w:hint="eastAsia" w:ascii="宋体" w:hAnsi="宋体" w:eastAsia="宋体" w:cs="宋体"/>
          <w:bCs/>
          <w:sz w:val="24"/>
          <w:szCs w:val="21"/>
          <w:highlight w:val="none"/>
        </w:rPr>
      </w:pPr>
      <w:r/>
      <w:bookmarkStart w:id="824" w:name="_Toc16938559"/>
      <w:r/>
      <w:bookmarkStart w:id="825" w:name="_Toc513029243"/>
      <w:r/>
      <w:bookmarkStart w:id="826" w:name="_Toc20823315"/>
      <w:r>
        <w:rPr>
          <w:rFonts w:hint="eastAsia" w:ascii="宋体" w:hAnsi="宋体" w:eastAsia="宋体" w:cs="宋体"/>
          <w:bCs/>
          <w:sz w:val="24"/>
          <w:szCs w:val="21"/>
          <w:highlight w:val="none"/>
        </w:rPr>
        <w:t xml:space="preserve">以下为中标后签定本项目合同的通用条款，中标人不得提出实质性的修改。</w:t>
      </w:r>
      <w:r/>
    </w:p>
    <w:p>
      <w:pPr>
        <w:jc w:val="center"/>
        <w:spacing w:line="360" w:lineRule="auto"/>
        <w:rPr>
          <w:rFonts w:hint="eastAsia" w:ascii="宋体" w:hAnsi="宋体" w:eastAsia="宋体" w:cs="宋体"/>
          <w:b/>
          <w:bCs/>
          <w:sz w:val="30"/>
          <w:szCs w:val="20"/>
          <w:highlight w:val="none"/>
        </w:rPr>
      </w:pPr>
      <w:r>
        <w:rPr>
          <w:rFonts w:hint="eastAsia" w:ascii="宋体" w:hAnsi="宋体" w:eastAsia="宋体" w:cs="宋体"/>
          <w:b/>
          <w:sz w:val="30"/>
          <w:szCs w:val="21"/>
          <w:highlight w:val="none"/>
        </w:rPr>
        <w:t xml:space="preserve">常州市政府采购合同（服务）（合同编号）</w:t>
      </w:r>
      <w:r/>
    </w:p>
    <w:p>
      <w:pPr>
        <w:spacing w:before="156" w:after="156"/>
        <w:rPr>
          <w:rFonts w:hint="eastAsia" w:ascii="宋体" w:hAnsi="宋体" w:eastAsia="宋体" w:cs="宋体"/>
          <w:b/>
          <w:bCs/>
          <w:sz w:val="24"/>
          <w:szCs w:val="24"/>
          <w:highlight w:val="none"/>
        </w:rPr>
        <w:outlineLvl w:val="0"/>
      </w:pPr>
      <w:r>
        <w:rPr>
          <w:rFonts w:hint="eastAsia" w:ascii="宋体" w:hAnsi="宋体" w:eastAsia="宋体" w:cs="宋体"/>
          <w:sz w:val="24"/>
          <w:szCs w:val="24"/>
          <w:highlight w:val="none"/>
        </w:rPr>
        <w:t xml:space="preserve">项目名称：2025-</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年度</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医疗责任险、财产险项目</w:t>
      </w:r>
      <w:r/>
    </w:p>
    <w:p>
      <w:pPr>
        <w:jc w:val="both"/>
        <w:spacing w:before="120"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项目编号：</w:t>
      </w:r>
      <w:r/>
    </w:p>
    <w:p>
      <w:pP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常州市第三人民医院</w:t>
      </w:r>
      <w:r/>
    </w:p>
    <w:p>
      <w:pPr>
        <w:jc w:val="both"/>
        <w:spacing w:before="120"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乙方：_________</w:t>
      </w:r>
      <w:r/>
    </w:p>
    <w:p>
      <w:pPr>
        <w:jc w:val="both"/>
        <w:spacing w:before="120" w:after="120"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甲、乙双方根据</w:t>
      </w:r>
      <w:r>
        <w:rPr>
          <w:rFonts w:hint="eastAsia" w:ascii="宋体" w:hAnsi="宋体" w:eastAsia="宋体" w:cs="宋体"/>
          <w:sz w:val="24"/>
          <w:szCs w:val="24"/>
          <w:highlight w:val="none"/>
          <w:u w:val="single"/>
          <w:lang w:val="en-US" w:eastAsia="en-US" w:bidi="ar-SA"/>
        </w:rPr>
        <w:t xml:space="preserve">2025-</w:t>
      </w:r>
      <w:r>
        <w:rPr>
          <w:rFonts w:hint="eastAsia" w:ascii="宋体" w:hAnsi="宋体" w:eastAsia="宋体" w:cs="宋体"/>
          <w:sz w:val="24"/>
          <w:szCs w:val="24"/>
          <w:highlight w:val="none"/>
          <w:u w:val="single"/>
          <w:lang w:val="en-US" w:eastAsia="zh-CN" w:bidi="ar-SA"/>
        </w:rPr>
        <w:t xml:space="preserve">2027</w:t>
      </w:r>
      <w:r>
        <w:rPr>
          <w:rFonts w:hint="eastAsia" w:ascii="宋体" w:hAnsi="宋体" w:eastAsia="宋体" w:cs="宋体"/>
          <w:sz w:val="24"/>
          <w:szCs w:val="24"/>
          <w:highlight w:val="none"/>
          <w:u w:val="single"/>
          <w:lang w:val="en-US" w:eastAsia="en-US" w:bidi="ar-SA"/>
        </w:rPr>
        <w:t xml:space="preserve">年度</w:t>
      </w:r>
      <w:r>
        <w:rPr>
          <w:rFonts w:hint="eastAsia" w:ascii="宋体" w:hAnsi="宋体" w:eastAsia="宋体" w:cs="宋体"/>
          <w:sz w:val="24"/>
          <w:szCs w:val="24"/>
          <w:highlight w:val="none"/>
          <w:u w:val="single"/>
          <w:lang w:val="en-US" w:eastAsia="zh-CN" w:bidi="ar-SA"/>
        </w:rPr>
        <w:t xml:space="preserve">常州市第三人民医院</w:t>
      </w:r>
      <w:r>
        <w:rPr>
          <w:rFonts w:hint="eastAsia" w:ascii="宋体" w:hAnsi="宋体" w:eastAsia="宋体" w:cs="宋体"/>
          <w:sz w:val="24"/>
          <w:szCs w:val="24"/>
          <w:highlight w:val="none"/>
          <w:u w:val="single"/>
          <w:lang w:val="en-US" w:eastAsia="en-US" w:bidi="ar-SA"/>
        </w:rPr>
        <w:t xml:space="preserve">医疗责任险、财产险</w:t>
      </w:r>
      <w:r>
        <w:rPr>
          <w:rFonts w:hint="eastAsia" w:ascii="宋体" w:hAnsi="宋体" w:eastAsia="宋体" w:cs="宋体"/>
          <w:sz w:val="24"/>
          <w:szCs w:val="24"/>
          <w:highlight w:val="none"/>
          <w:lang w:val="en-US" w:eastAsia="en-US" w:bidi="ar-SA"/>
        </w:rPr>
        <w:t xml:space="preserve">项目公开招标的结果，签署本合同。</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1．定义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本合同中的下列术语应解释为：</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甲方与乙方签署的，合同格式中载明的甲方与乙方所达成的协议，包括所有的附件、附录和构成合同的所有文件。中标人入围所出具的所有承诺及/或保证均构成本合同不可分割的一部分，对双方具有约束力。</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（2）“服务”系指：根据合同规定乙方应承担的义务及相关的后续服务，比如合规承保、限时理赔支付赔款等其他类似的乙方应承担的义务。</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（3）“甲方”系指：</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（4）“乙方”系指：</w:t>
      </w:r>
      <w:r>
        <w:rPr>
          <w:rFonts w:hint="eastAsia" w:ascii="宋体" w:hAnsi="宋体" w:eastAsia="宋体" w:cs="宋体"/>
          <w:color w:val="000000"/>
          <w:sz w:val="24"/>
          <w:szCs w:val="24"/>
          <w:highlight w:val="none"/>
        </w:rPr>
        <w:t xml:space="preserve">中标保险机构。</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（5）“投保人”系指：</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（6）“被保险人”系指</w:t>
      </w:r>
      <w:r>
        <w:rPr>
          <w:rFonts w:hint="eastAsia" w:ascii="宋体" w:hAnsi="宋体" w:eastAsia="宋体" w:cs="宋体"/>
          <w:spacing w:val="2"/>
          <w:sz w:val="24"/>
          <w:szCs w:val="24"/>
          <w:highlight w:val="none"/>
          <w:lang w:val="zh-CN"/>
        </w:rPr>
        <w:t xml:space="preserve">：</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（7）“附件”是指与本合同的订立、履行有关的，经甲乙及投保人认可的，对本合同约定的内容进行细化、补充、修改、变更的文件、图纸、音像制品等资料。</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（8）“工作日”是指除公休日和国家法定节假日以外的日历日。</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2．合同文件</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的招投标文件或与本次采购活动相适应的文件及有关附件是本合同不可分割的组成部分，与本合同具有同等法律效力，这些文件包括但不仅限于：</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（1）本合同书；</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（2）中标通知书；</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（3）招标文件及其附件（含招标过程中对有关问题的补充资料、补充公告和澄清文件等）；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-273685</wp:posOffset>
                </wp:positionH>
                <wp:positionV relativeFrom="paragraph">
                  <wp:posOffset>537210</wp:posOffset>
                </wp:positionV>
                <wp:extent cx="234315" cy="381000"/>
                <wp:effectExtent l="0" t="0" r="13335" b="0"/>
                <wp:wrapNone/>
                <wp:docPr id="2" name="矩形 1"/>
                <wp:cNvGraphicFramePr/>
                <a:graphic xmlns:a="http://schemas.openxmlformats.org/drawingml/2006/main">
                  <a:graphicData uri="http://schemas.microsoft.com/office/word/2010/wordprocessingShape">
                    <wps:wsp>
                      <wps:cNvPr id="0" name=""/>
                      <wps:cNvSpPr/>
                      <wps:spPr bwMode="auto">
                        <a:xfrm>
                          <a:off x="0" y="0"/>
                          <a:ext cx="234315" cy="381000"/>
                        </a:xfrm>
                        <a:prstGeom prst="rect">
                          <a:avLst/>
                        </a:prstGeom>
                        <a:solidFill>
                          <a:srgbClr val="FFFFFF"/>
                        </a:solidFill>
                        <a:ln>
                          <a:noFill/>
                        </a:ln>
                      </wps:spPr>
                      <wps:txbx>
                        <w:txbxContent>
                          <w:p>
                            <w:pPr>
                              <w:rPr>
                                <w:rFonts w:eastAsia="宋体"/>
                                <w:szCs w:val="24"/>
                              </w:rPr>
                            </w:pPr>
                            <w:r>
                              <w:rPr>
                                <w:rFonts w:eastAsia="宋体"/>
                                <w:szCs w:val="24"/>
                              </w:rPr>
                            </w:r>
                            <w:r/>
                          </w:p>
                          <w:p>
                            <w:pPr>
                              <w:rPr>
                                <w:rFonts w:eastAsia="宋体"/>
                                <w:szCs w:val="21"/>
                              </w:rPr>
                            </w:pPr>
                            <w:r>
                              <w:rPr>
                                <w:rFonts w:eastAsia="宋体"/>
                                <w:szCs w:val="21"/>
                              </w:rPr>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21.6pt;mso-position-horizontal:absolute;mso-position-vertical-relative:text;margin-top:42.3pt;mso-position-vertical:absolute;width:18.4pt;height:30.0pt;mso-wrap-distance-left:9.0pt;mso-wrap-distance-top:0.0pt;mso-wrap-distance-right:9.0pt;mso-wrap-distance-bottom:0.0pt;visibility:visible;" fillcolor="#FFFFFF" stroked="f">
                <v:textbox inset="0,0,0,0">
                  <w:txbxContent>
                    <w:p>
                      <w:pPr>
                        <w:rPr>
                          <w:rFonts w:eastAsia="宋体"/>
                          <w:szCs w:val="24"/>
                        </w:rPr>
                      </w:pPr>
                      <w:r>
                        <w:rPr>
                          <w:rFonts w:eastAsia="宋体"/>
                          <w:szCs w:val="24"/>
                        </w:rPr>
                      </w:r>
                      <w:r/>
                    </w:p>
                    <w:p>
                      <w:pPr>
                        <w:rPr>
                          <w:rFonts w:eastAsia="宋体"/>
                          <w:szCs w:val="21"/>
                        </w:rPr>
                      </w:pPr>
                      <w:r>
                        <w:rPr>
                          <w:rFonts w:eastAsia="宋体"/>
                          <w:szCs w:val="21"/>
                        </w:rPr>
                      </w:r>
                      <w:r/>
                    </w:p>
                  </w:txbxContent>
                </v:textbox>
              </v:shape>
            </w:pict>
          </mc:Fallback>
        </mc:AlternateContent>
      </w:r>
      <w:r>
        <w:rPr>
          <w:rFonts w:hint="eastAsia" w:ascii="宋体" w:hAnsi="宋体" w:eastAsia="宋体" w:cs="宋体"/>
          <w:sz w:val="24"/>
          <w:szCs w:val="24"/>
          <w:highlight w:val="none"/>
        </w:rPr>
        <w:t xml:space="preserve">（4）投标文件及其附件（含投标人在评标期间递交和确认并经采购代理机构同意的对有关问题的补充资料和澄清文件等）；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（5）甲方、乙方商定的其他必要文件。</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3．服务范围、保险险种</w:t>
      </w:r>
      <w:r/>
    </w:p>
    <w:p>
      <w:pPr>
        <w:ind w:right="210" w:firstLine="481"/>
        <w:spacing w:line="44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-238760</wp:posOffset>
                </wp:positionH>
                <wp:positionV relativeFrom="paragraph">
                  <wp:posOffset>206375</wp:posOffset>
                </wp:positionV>
                <wp:extent cx="173355" cy="701675"/>
                <wp:effectExtent l="0" t="0" r="17145" b="3175"/>
                <wp:wrapNone/>
                <wp:docPr id="3" name="矩形 2"/>
                <wp:cNvGraphicFramePr/>
                <a:graphic xmlns:a="http://schemas.openxmlformats.org/drawingml/2006/main">
                  <a:graphicData uri="http://schemas.microsoft.com/office/word/2010/wordprocessingShape">
                    <wps:wsp>
                      <wps:cNvPr id="0" name=""/>
                      <wps:cNvSpPr/>
                      <wps:spPr bwMode="auto">
                        <a:xfrm>
                          <a:off x="0" y="0"/>
                          <a:ext cx="173355" cy="701675"/>
                        </a:xfrm>
                        <a:prstGeom prst="rect">
                          <a:avLst/>
                        </a:prstGeom>
                        <a:solidFill>
                          <a:srgbClr val="FFFFFF"/>
                        </a:solidFill>
                        <a:ln>
                          <a:noFill/>
                        </a:ln>
                      </wps:spPr>
                      <wps:txbx>
                        <w:txbxContent>
                          <w:p>
                            <w:pPr>
                              <w:rPr>
                                <w:rFonts w:eastAsia="宋体"/>
                                <w:szCs w:val="24"/>
                              </w:rPr>
                            </w:pPr>
                            <w:r>
                              <w:rPr>
                                <w:rFonts w:eastAsia="宋体"/>
                                <w:szCs w:val="24"/>
                              </w:rPr>
                            </w:r>
                            <w:r/>
                          </w:p>
                          <w:p>
                            <w:pPr>
                              <w:rPr>
                                <w:rFonts w:eastAsia="宋体"/>
                                <w:szCs w:val="21"/>
                              </w:rPr>
                            </w:pPr>
                            <w:r>
                              <w:rPr>
                                <w:rFonts w:eastAsia="宋体"/>
                                <w:szCs w:val="21"/>
                              </w:rPr>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18.8pt;mso-position-horizontal:absolute;mso-position-vertical-relative:text;margin-top:16.2pt;mso-position-vertical:absolute;width:13.6pt;height:55.2pt;mso-wrap-distance-left:9.0pt;mso-wrap-distance-top:0.0pt;mso-wrap-distance-right:9.0pt;mso-wrap-distance-bottom:0.0pt;visibility:visible;" fillcolor="#FFFFFF" stroked="f">
                <v:textbox inset="0,0,0,0">
                  <w:txbxContent>
                    <w:p>
                      <w:pPr>
                        <w:rPr>
                          <w:rFonts w:eastAsia="宋体"/>
                          <w:szCs w:val="24"/>
                        </w:rPr>
                      </w:pPr>
                      <w:r>
                        <w:rPr>
                          <w:rFonts w:eastAsia="宋体"/>
                          <w:szCs w:val="24"/>
                        </w:rPr>
                      </w:r>
                      <w:r/>
                    </w:p>
                    <w:p>
                      <w:pPr>
                        <w:rPr>
                          <w:rFonts w:eastAsia="宋体"/>
                          <w:szCs w:val="21"/>
                        </w:rPr>
                      </w:pPr>
                      <w:r>
                        <w:rPr>
                          <w:rFonts w:eastAsia="宋体"/>
                          <w:szCs w:val="21"/>
                        </w:rPr>
                      </w:r>
                      <w:r/>
                    </w:p>
                  </w:txbxContent>
                </v:textbox>
              </v:shape>
            </w:pict>
          </mc:Fallback>
        </mc:AlternateContent>
      </w:r>
      <w:r>
        <w:rPr>
          <w:rFonts w:hint="eastAsia" w:ascii="宋体" w:hAnsi="宋体" w:eastAsia="宋体" w:cs="宋体"/>
          <w:color w:val="000000"/>
          <w:sz w:val="24"/>
          <w:szCs w:val="24"/>
          <w:highlight w:val="none"/>
        </w:rPr>
        <w:t xml:space="preserve">3.1</w:t>
      </w:r>
      <w:r>
        <w:rPr>
          <w:rFonts w:hint="eastAsia" w:ascii="宋体" w:hAnsi="宋体" w:eastAsia="宋体" w:cs="宋体"/>
          <w:bCs/>
          <w:color w:val="000000"/>
          <w:sz w:val="24"/>
          <w:szCs w:val="24"/>
          <w:highlight w:val="none"/>
        </w:rPr>
        <w:t xml:space="preserve">本合同服务范围为</w:t>
      </w:r>
      <w:r>
        <w:rPr>
          <w:rFonts w:hint="eastAsia" w:ascii="宋体" w:hAnsi="宋体" w:eastAsia="宋体" w:cs="宋体"/>
          <w:sz w:val="24"/>
          <w:szCs w:val="24"/>
          <w:highlight w:val="none"/>
        </w:rPr>
        <w:t xml:space="preserve">2025-</w:t>
      </w:r>
      <w:r>
        <w:rPr>
          <w:rFonts w:hint="eastAsia" w:ascii="宋体" w:hAnsi="宋体" w:eastAsia="宋体" w:cs="宋体"/>
          <w:sz w:val="24"/>
          <w:szCs w:val="24"/>
          <w:highlight w:val="none"/>
          <w:lang w:eastAsia="zh-CN"/>
        </w:rPr>
        <w:t xml:space="preserve">2027</w:t>
      </w:r>
      <w:r>
        <w:rPr>
          <w:rFonts w:hint="eastAsia" w:ascii="宋体" w:hAnsi="宋体" w:eastAsia="宋体" w:cs="宋体"/>
          <w:sz w:val="24"/>
          <w:szCs w:val="24"/>
          <w:highlight w:val="none"/>
        </w:rPr>
        <w:t xml:space="preserve">年度</w:t>
      </w:r>
      <w:r>
        <w:rPr>
          <w:rFonts w:hint="eastAsia" w:ascii="宋体" w:hAnsi="宋体" w:eastAsia="宋体" w:cs="宋体"/>
          <w:sz w:val="24"/>
          <w:szCs w:val="24"/>
          <w:highlight w:val="none"/>
          <w:lang w:eastAsia="zh-CN"/>
        </w:rPr>
        <w:t xml:space="preserve">常州市第三人民医院</w:t>
      </w:r>
      <w:r>
        <w:rPr>
          <w:rFonts w:hint="eastAsia" w:ascii="宋体" w:hAnsi="宋体" w:eastAsia="宋体" w:cs="宋体"/>
          <w:sz w:val="24"/>
          <w:szCs w:val="24"/>
          <w:highlight w:val="none"/>
        </w:rPr>
        <w:t xml:space="preserve">医疗责任险、财产险项目</w:t>
      </w:r>
      <w:r>
        <w:rPr>
          <w:rFonts w:hint="eastAsia" w:ascii="宋体" w:hAnsi="宋体" w:eastAsia="宋体" w:cs="宋体"/>
          <w:color w:val="000000"/>
          <w:spacing w:val="2"/>
          <w:sz w:val="24"/>
          <w:szCs w:val="24"/>
          <w:highlight w:val="none"/>
          <w:lang w:val="zh-CN"/>
        </w:rPr>
        <w:t xml:space="preserve">。</w:t>
      </w:r>
      <w:r/>
    </w:p>
    <w:p>
      <w:pPr>
        <w:ind w:right="210"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3.2保险险种为：医疗责任保险、附加医疗机构场所责任险、附加医务人员遭受伤害责任保险；财产综合险、机器设备损坏险。</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4.保险服务期限</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4.1 项目保险期间：202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2027</w:t>
      </w:r>
      <w:r>
        <w:rPr>
          <w:rFonts w:hint="eastAsia" w:ascii="宋体" w:hAnsi="宋体" w:eastAsia="宋体" w:cs="宋体"/>
          <w:bCs/>
          <w:color w:val="000000"/>
          <w:sz w:val="24"/>
          <w:szCs w:val="24"/>
          <w:highlight w:val="none"/>
        </w:rPr>
        <w:t xml:space="preserve">年04月22日二十四时</w:t>
      </w:r>
      <w:r>
        <w:rPr>
          <w:rFonts w:hint="eastAsia" w:ascii="宋体" w:hAnsi="宋体" w:eastAsia="宋体" w:cs="宋体"/>
          <w:bCs/>
          <w:color w:val="000000"/>
          <w:sz w:val="24"/>
          <w:szCs w:val="24"/>
          <w:highlight w:val="none"/>
          <w:lang w:val="en-US" w:eastAsia="zh-CN"/>
        </w:rPr>
        <w:t xml:space="preserve">止</w:t>
      </w:r>
      <w:r>
        <w:rPr>
          <w:rFonts w:hint="eastAsia" w:ascii="宋体" w:hAnsi="宋体" w:cs="宋体"/>
          <w:bCs/>
          <w:color w:val="000000"/>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5.保险方案</w:t>
      </w:r>
      <w:r/>
    </w:p>
    <w:p>
      <w:pPr>
        <w:ind w:firstLine="5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5.1本项目保险方案包括但不仅限于招标文件的采购需求。</w:t>
      </w:r>
      <w:r/>
    </w:p>
    <w:p>
      <w:pPr>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5.2乙方应遵循本招标文件及其组成文件中特定的保险方案提供保险服务。保险方案与中标人保险条款相悖处，以本招标文件保险方案为准。</w:t>
      </w:r>
      <w:r/>
    </w:p>
    <w:p>
      <w:pPr>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5.3本项目由采购人委托的第三方保险经纪公司，制定详细实施方案并经采购人确认后负责具体实施。</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6.双方权利及义务</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6.1甲方应积极推动本保险项目的实施，投保人应按时支付保险费。</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6.2乙方应接受甲方及采购人委托的第三方保险经纪公司关于承保方案的安排，开展保险服务执行中标保险人的费率，并以招标文件的采购需求中所列明的主要承保条件、服务要求等作为依据订立保险合同。</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6.3乙方应针对本项目成立健全的专门服务小组、分管领导亲自负责，做好本保险的承保及理赔服务工作。</w:t>
      </w:r>
      <w:r/>
    </w:p>
    <w:p>
      <w:pPr>
        <w:ind w:firstLine="428"/>
        <w:spacing w:line="360" w:lineRule="auto"/>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6.4乙方在服务期间，应及时定期向甲方及采购人委托的第三方保险经纪公司提供履约相关资料、报表。</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6.5乙方严格按照合同约定执行，按照相关管理办法定期接受甲方及采购人委托的第三方保险经纪公司履约考核。</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6.6乙方应自觉遵守国家关于保险行业的有关法律、法规，以及廉政建设的各项规定，开展履约活动，并按照纪检监察机构相关规定出具廉洁自律保证书。</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6.7乙方违反投标文件以及本合同中的承诺、保证或其他主要义务的，构成根本违约，应当承担相应的违约责任。</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6.8 各方当事人应严格履行本合同各项条款，自觉接受财政、监察、审计部门的监督检查。</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7.考核及违约责任</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1.</w:t>
      </w:r>
      <w:r>
        <w:rPr>
          <w:rFonts w:hint="eastAsia" w:ascii="宋体" w:hAnsi="宋体" w:eastAsia="宋体" w:cs="宋体"/>
          <w:spacing w:val="2"/>
          <w:sz w:val="24"/>
          <w:szCs w:val="24"/>
          <w:highlight w:val="none"/>
        </w:rPr>
        <w:t xml:space="preserve">乙方在合同有效期内应接受甲方或甲方委托的具有专业保险资质的第三方对乙方履约情况进行考核评价，包括但不仅限于对以下内容的审查：保险合同履行、赔付情况、客户满意度等。</w:t>
      </w:r>
      <w:r/>
    </w:p>
    <w:p>
      <w:pPr>
        <w:ind w:left="-4" w:firstLine="428"/>
        <w:spacing w:line="440" w:lineRule="exact"/>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2.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8．保密条款</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8.1任何一方对其获知的本合同涉及的所有有形、无形的信息及资料（包括但不仅限于甲乙及投保人的往来书面文字文件、电子邮件及信息、电子资料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保险合同、保险费率、保险方案、理赔数据等）中另一方的商业秘密负有保密义务。</w:t>
      </w:r>
      <w:r/>
    </w:p>
    <w:p>
      <w:pPr>
        <w:ind w:right="210" w:firstLine="420"/>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sz w:val="24"/>
          <w:szCs w:val="24"/>
          <w:highlight w:val="none"/>
        </w:rPr>
        <w:t xml:space="preserve">8.2除非法律、法规另有规定或得到本合同之另一方的书面许可，任何一方不得向第三方泄露前款规定的商业秘密。保密期限自任何一方获知该商业秘密之日起至本条规定的秘密成为公众信息之日止。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04"/>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8.3</w:t>
      </w:r>
      <w:r>
        <w:rPr>
          <w:rFonts w:hint="eastAsia" w:ascii="宋体" w:hAnsi="宋体" w:eastAsia="宋体" w:cs="宋体"/>
          <w:color w:val="000000"/>
          <w:spacing w:val="6"/>
          <w:sz w:val="24"/>
          <w:szCs w:val="24"/>
          <w:highlight w:val="none"/>
        </w:rPr>
        <w:t xml:space="preserve">本</w:t>
      </w:r>
      <w:r>
        <w:rPr>
          <w:rFonts w:hint="eastAsia" w:ascii="宋体" w:hAnsi="宋体" w:eastAsia="宋体" w:cs="宋体"/>
          <w:color w:val="000000"/>
          <w:spacing w:val="6"/>
          <w:sz w:val="24"/>
          <w:szCs w:val="24"/>
          <w:highlight w:val="none"/>
          <w:lang w:val="en-US" w:eastAsia="zh-CN"/>
        </w:rPr>
        <w:t xml:space="preserve">合同</w:t>
      </w:r>
      <w:r>
        <w:rPr>
          <w:rFonts w:hint="eastAsia" w:ascii="宋体" w:hAnsi="宋体" w:eastAsia="宋体" w:cs="宋体"/>
          <w:color w:val="000000"/>
          <w:spacing w:val="6"/>
          <w:sz w:val="24"/>
          <w:szCs w:val="24"/>
          <w:highlight w:val="none"/>
        </w:rPr>
        <w:t xml:space="preserve">终止后本条款永久有效。</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9.保费</w:t>
      </w:r>
      <w:r/>
    </w:p>
    <w:p>
      <w:pPr>
        <w:ind w:firstLine="480"/>
        <w:spacing w:line="44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9.1本合同执行乙方的中标价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9.2投保人在收到乙方保单、保险费发票后30日内将上述款项划入乙方指定账户。</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在约定保险期间内，保费交清前发生的保险事故，保险人承担保险责任。</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9.4与本合同有关的一切税、费，均由乙方承担。</w:t>
      </w:r>
      <w:r/>
    </w:p>
    <w:p>
      <w:pPr>
        <w:pStyle w:val="129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10.履约保证金</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（不收取）</w:t>
      </w:r>
      <w:r>
        <w:rPr>
          <w:rFonts w:hint="eastAsia" w:ascii="宋体" w:hAnsi="宋体" w:eastAsia="宋体" w:cs="宋体"/>
          <w:sz w:val="24"/>
          <w:szCs w:val="24"/>
          <w:highlight w:val="none"/>
        </w:rPr>
        <w:t xml:space="preserve">履约保证金。</w:t>
      </w:r>
      <w:r/>
    </w:p>
    <w:p>
      <w:pPr>
        <w:ind w:firstLine="620"/>
        <w:spacing w:line="360" w:lineRule="auto"/>
        <w:rPr>
          <w:rFonts w:hint="eastAsia" w:ascii="宋体" w:hAnsi="宋体" w:eastAsia="宋体" w:cs="宋体"/>
          <w:i/>
          <w:spacing w:val="-5"/>
          <w:sz w:val="24"/>
          <w:szCs w:val="24"/>
          <w:highlight w:val="none"/>
        </w:rPr>
      </w:pPr>
      <w:r>
        <w:rPr>
          <w:rFonts w:hint="eastAsia" w:ascii="宋体" w:hAnsi="宋体" w:eastAsia="宋体" w:cs="宋体"/>
          <w:i/>
          <w:spacing w:val="-5"/>
          <w:sz w:val="24"/>
          <w:szCs w:val="24"/>
          <w:highlight w:val="none"/>
        </w:rPr>
        <w:t xml:space="preserve">（根据财政部门优化营商环境相关文件要求，原则上不收取履约保证金，如实际情况确实需要收取的，按照下列内容填写完整）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合同履行结束后，甲方应及时退还交纳的履约保证金。</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10.2.1履约保证金退还方式：/</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10.2.2履约保证金退还时间：/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10.2.3履约保证金退还条件：/</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10.2.4履约保证金不予退还的情形：/</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11.合同的变更</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11.1、除《政府采购法》第四十九条、第五十条第二款规定的情形外，本合同一经签订，甲乙双方不得擅自变更、中止或终止合同。</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11.2、如需修改或补充合同内容，应经甲方、乙方协商，共同签署书面修改或补充协议。该协议将作为本合同不可分割的一部分。</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12.转让</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除甲方事先书面同意外，乙方不得擅自部分或全部转让其应履行的合同义务。</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.解决合同纠纷的方式</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.1在执行本合同中所发生的或与本合同有关的一切争端，甲方和乙方应通过友好协商的办法进行解决。如从协商开始15天内仍不能解决，可向甲方所在地人民法院提起诉讼。</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.2在诉讼期间，本合同应继续执行。</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.生效</w:t>
      </w:r>
      <w:r/>
    </w:p>
    <w:p>
      <w:pPr>
        <w:ind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本合同自各方签名盖章之日起生效。</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.合同保存</w:t>
      </w:r>
      <w:r/>
    </w:p>
    <w:p>
      <w:pPr>
        <w:ind w:firstLine="42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合同份数：本合同一式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份，甲方执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份，乙方执</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份，具有同等法律效力。</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    方：</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both"/>
        <w:spacing w:before="120" w:after="120" w:line="0" w:lineRule="atLeas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电  话：</w:t>
      </w:r>
      <w:r>
        <w:rPr>
          <w:rFonts w:hint="eastAsia" w:ascii="宋体" w:hAnsi="宋体" w:eastAsia="宋体" w:cs="宋体"/>
          <w:b/>
          <w:bCs/>
          <w:sz w:val="24"/>
          <w:szCs w:val="24"/>
          <w:highlight w:val="none"/>
          <w:lang w:val="en-US" w:eastAsia="en-US" w:bidi="ar-SA"/>
        </w:rPr>
        <w:t xml:space="preserve">注：银行帐号与开户银行必须填写清楚。</w:t>
      </w:r>
      <w:r>
        <w:rPr>
          <w:rFonts w:hint="eastAsia" w:ascii="宋体" w:hAnsi="宋体" w:eastAsia="宋体" w:cs="宋体"/>
          <w:sz w:val="24"/>
          <w:szCs w:val="24"/>
          <w:highlight w:val="none"/>
          <w:lang w:val="en-US" w:eastAsia="en-US" w:bidi="ar-SA"/>
        </w:rPr>
        <w:t xml:space="preserve"> </w:t>
      </w:r>
      <w:bookmarkEnd w:id="824"/>
      <w:r/>
      <w:bookmarkEnd w:id="825"/>
      <w:r/>
      <w:bookmarkEnd w:id="826"/>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0"/>
      </w:pPr>
      <w:r/>
      <w:bookmarkStart w:id="827" w:name="_Toc99301426"/>
      <w:r>
        <w:rPr>
          <w:rFonts w:hint="eastAsia" w:ascii="宋体" w:hAnsi="宋体" w:eastAsia="宋体" w:cs="宋体"/>
          <w:b/>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firstLine="48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w:t>
      </w:r>
      <w:r>
        <w:rPr>
          <w:rFonts w:hint="eastAsia" w:ascii="宋体" w:hAnsi="宋体" w:eastAsia="宋体" w:cs="宋体"/>
          <w:sz w:val="24"/>
          <w:szCs w:val="20"/>
          <w:highlight w:val="none"/>
        </w:rPr>
        <w:t xml:space="preserve">签字、签章或印鉴</w:t>
      </w:r>
      <w:r>
        <w:rPr>
          <w:rFonts w:hint="eastAsia" w:ascii="宋体" w:hAnsi="宋体" w:eastAsia="宋体" w:cs="宋体"/>
          <w:sz w:val="24"/>
          <w:highlight w:val="none"/>
        </w:rPr>
        <w:t xml:space="preserve">。</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eastAsia="宋体" w:cs="宋体"/>
          <w:b/>
          <w:sz w:val="30"/>
          <w:szCs w:val="20"/>
          <w:highlight w:val="none"/>
        </w:rPr>
        <w:outlineLvl w:val="1"/>
      </w:pPr>
      <w:r>
        <w:rPr>
          <w:rFonts w:hint="eastAsia" w:ascii="宋体" w:hAnsi="宋体" w:eastAsia="宋体" w:cs="宋体"/>
          <w:b/>
          <w:spacing w:val="20"/>
          <w:sz w:val="24"/>
          <w:highlight w:val="none"/>
        </w:rPr>
        <w:t xml:space="preserve">一、资格证明文件格式</w:t>
      </w:r>
      <w:r/>
    </w:p>
    <w:p>
      <w:pPr>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rPr>
          <w:rFonts w:hint="eastAsia" w:ascii="宋体" w:hAnsi="宋体" w:eastAsia="宋体" w:cs="宋体"/>
          <w:b/>
          <w:sz w:val="32"/>
          <w:szCs w:val="32"/>
          <w:highlight w:val="none"/>
        </w:rPr>
        <w:t xml:space="preserve">一、资格证明文件</w:t>
      </w:r>
      <w:r/>
    </w:p>
    <w:p>
      <w:pPr>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sz w:val="24"/>
          <w:szCs w:val="20"/>
          <w:highlight w:val="none"/>
        </w:rPr>
        <w:t xml:space="preserve">1 </w:t>
      </w:r>
      <w:r>
        <w:rPr>
          <w:rFonts w:hint="eastAsia" w:ascii="宋体" w:hAnsi="宋体" w:eastAsia="宋体" w:cs="宋体"/>
          <w:b/>
          <w:sz w:val="24"/>
          <w:highlight w:val="none"/>
        </w:rPr>
        <w:t xml:space="preserve">满足《中华人民共和国政府采购法》第二十二条规定及法律法规的其他规定</w:t>
      </w:r>
      <w:r/>
    </w:p>
    <w:p>
      <w:pPr>
        <w:pStyle w:val="1041"/>
        <w:rPr>
          <w:rFonts w:hint="eastAsia" w:ascii="宋体" w:hAnsi="宋体" w:eastAsia="宋体" w:cs="宋体"/>
          <w:b w:val="0"/>
          <w:bCs/>
          <w:highlight w:val="none"/>
          <w:u w:val="none"/>
        </w:rPr>
      </w:pPr>
      <w:r>
        <w:rPr>
          <w:rFonts w:hint="eastAsia" w:ascii="宋体" w:hAnsi="宋体" w:eastAsia="宋体" w:cs="宋体"/>
          <w:b w:val="0"/>
          <w:highlight w:val="none"/>
          <w:u w:val="none"/>
        </w:rPr>
        <w:t xml:space="preserve">1-1 </w:t>
      </w:r>
      <w:r>
        <w:rPr>
          <w:rFonts w:hint="eastAsia" w:ascii="宋体" w:hAnsi="宋体" w:eastAsia="宋体" w:cs="宋体"/>
          <w:highlight w:val="none"/>
          <w:u w:val="none"/>
        </w:rPr>
        <w:t xml:space="preserve">投标人资格声明函（实质性格式）</w:t>
      </w:r>
      <w:r/>
    </w:p>
    <w:p>
      <w:pPr>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before="120" w:line="360" w:lineRule="auto"/>
        <w:widowControl/>
        <w:rPr>
          <w:rFonts w:hint="eastAsia" w:ascii="宋体" w:hAnsi="宋体" w:eastAsia="宋体" w:cs="宋体"/>
          <w:szCs w:val="21"/>
          <w:highlight w:val="none"/>
        </w:rPr>
      </w:pPr>
      <w:r>
        <w:rPr>
          <w:rFonts w:hint="eastAsia" w:ascii="宋体" w:hAnsi="宋体" w:eastAsia="宋体" w:cs="宋体"/>
          <w:b/>
          <w:sz w:val="28"/>
          <w:szCs w:val="28"/>
          <w:highlight w:val="none"/>
        </w:rPr>
        <w:t xml:space="preserve">投标人资格声明函</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致：</w:t>
      </w:r>
      <w:r>
        <w:rPr>
          <w:rFonts w:hint="eastAsia" w:ascii="宋体" w:hAnsi="宋体" w:eastAsia="宋体" w:cs="宋体"/>
          <w:highlight w:val="none"/>
          <w:lang w:val="en-US" w:eastAsia="zh-CN"/>
        </w:rPr>
        <w:t xml:space="preserve">江苏常信保险经纪有限公司</w:t>
      </w:r>
      <w:r/>
    </w:p>
    <w:p>
      <w:pPr>
        <w:pStyle w:val="1040"/>
        <w:ind w:firstLine="960"/>
        <w:spacing w:line="460" w:lineRule="exact"/>
        <w:rPr>
          <w:rFonts w:hint="eastAsia" w:ascii="宋体" w:hAnsi="宋体" w:eastAsia="宋体" w:cs="宋体"/>
          <w:highlight w:val="none"/>
          <w:u w:val="single"/>
        </w:rPr>
      </w:pPr>
      <w:r>
        <w:rPr>
          <w:rFonts w:hint="eastAsia" w:ascii="宋体" w:hAnsi="宋体" w:eastAsia="宋体" w:cs="宋体"/>
          <w:highlight w:val="none"/>
          <w:u w:val="single"/>
        </w:rPr>
        <w:t xml:space="preserve">（采购人名称）</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按照《中华人民共和国政府采购法》第二十二条和招标文件的规定，我单位郑重声明如下：</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一、我单位是按照中华人民共和国法律规定登记注册的，注册地点为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，全称为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，统一社会信用代码为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，法定代表人（单位负责人）为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，具有独立承担民事责任的能力。</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二、我单位具有良好的商业信誉（指投标人经营状况良好，无本资格声明第十条情形）和健全的财务会计制度。</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三、我单位依法进行纳税和社会保险申报并实际履行了义务。</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六、我单位具备法律、行政法规规定的其他条件。</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七、与我单位存在“单位负责人为同一人或者存在直接控股、管理关系”的其他单位信息如下（如无此情形的，填写“无”）：</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1、与我单位的法定代表人（单位负责人）为同一人的其他单位如下：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2、我单位直接控股的其他单位如下：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3、与我单位存在管理关系的其他单位如下：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八、我单位不属于为本项目提供整体设计、规范编制或者项目管理、监理、检测等服务的投标人。</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九、我单位无以下不良信用记录情形：</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1、在“信用中国”网站被列入失信被执行人和重大税收违法案件当事人名单；</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2、在“中国政府采购网”网站被列入政府采购严重违法失信行为记录名单；</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3、不符合《政府采购法》第二十二条规定的条件。</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我单位保证上述声明的事项都是真实的，如有虚假，我单位愿意承担相应的法律责任，并承担因此所造成的一切损失。</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投标人：（加盖公章）</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法定代表人（或单位负责人）签字或盖章：</w:t>
      </w:r>
      <w:r/>
    </w:p>
    <w:p>
      <w:pPr>
        <w:pStyle w:val="1040"/>
        <w:ind w:firstLine="4920"/>
        <w:spacing w:line="460" w:lineRule="exact"/>
        <w:rPr>
          <w:rFonts w:hint="eastAsia" w:ascii="宋体" w:hAnsi="宋体" w:eastAsia="宋体" w:cs="宋体"/>
          <w:highlight w:val="none"/>
        </w:rPr>
      </w:pPr>
      <w:r>
        <w:rPr>
          <w:rFonts w:hint="eastAsia" w:ascii="宋体" w:hAnsi="宋体" w:eastAsia="宋体" w:cs="宋体"/>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2 落实政府采购政策需满足的资格要求（如有）</w:t>
      </w:r>
      <w:r/>
    </w:p>
    <w:p>
      <w:pPr>
        <w:spacing w:line="360" w:lineRule="auto"/>
        <w:rPr>
          <w:rFonts w:hint="eastAsia" w:ascii="宋体" w:hAnsi="宋体" w:eastAsia="宋体" w:cs="宋体"/>
          <w:i/>
          <w:sz w:val="24"/>
          <w:highlight w:val="none"/>
        </w:rPr>
        <w:outlineLvl w:val="2"/>
      </w:pPr>
      <w:r>
        <w:rPr>
          <w:rFonts w:hint="eastAsia" w:ascii="宋体" w:hAnsi="宋体" w:eastAsia="宋体" w:cs="宋体"/>
          <w:b/>
          <w:sz w:val="24"/>
          <w:szCs w:val="20"/>
          <w:highlight w:val="none"/>
        </w:rPr>
        <w:t xml:space="preserve">2-1中小企业声明函</w:t>
      </w:r>
      <w:r/>
    </w:p>
    <w:p>
      <w:pPr>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（1）如本项目（包）不专门面向中小企业预留采购份额，资格证明文件部分无需提供《中小企业声明函》。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（2）如本项目（包）专门面向中小/小微企业采购，须提供《中小企业声明函》</w:t>
      </w:r>
      <w:r>
        <w:rPr>
          <w:rFonts w:hint="eastAsia" w:ascii="宋体" w:hAnsi="宋体" w:eastAsia="宋体" w:cs="宋体"/>
          <w:sz w:val="24"/>
          <w:szCs w:val="20"/>
          <w:highlight w:val="none"/>
        </w:rPr>
        <w:t xml:space="preserve">（实质性格式）</w:t>
      </w:r>
      <w:r>
        <w:rPr>
          <w:rFonts w:hint="eastAsia" w:ascii="宋体" w:hAnsi="宋体" w:eastAsia="宋体" w:cs="宋体"/>
          <w:sz w:val="24"/>
          <w:highlight w:val="none"/>
        </w:rPr>
        <w:t xml:space="preserve">。</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（4）其他</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w:t>
      </w:r>
      <w:r>
        <w:rPr>
          <w:rFonts w:hint="eastAsia" w:ascii="宋体" w:hAnsi="宋体" w:eastAsia="宋体" w:cs="宋体"/>
          <w:spacing w:val="6"/>
          <w:sz w:val="24"/>
          <w:highlight w:val="none"/>
          <w:vertAlign w:val="superscript"/>
        </w:rPr>
        <w:t xml:space="preserve">1</w:t>
      </w:r>
      <w:r>
        <w:rPr>
          <w:rFonts w:hint="eastAsia" w:ascii="宋体" w:hAnsi="宋体" w:eastAsia="宋体" w:cs="宋体"/>
          <w:spacing w:val="6"/>
          <w:sz w:val="24"/>
          <w:highlight w:val="none"/>
        </w:rPr>
        <w:t xml:space="preserve">，属于（中型企业、小型企业、微型企业）；</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bl>
      <w:tblPr>
        <w:tblStyle w:val="86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240" w:after="240" w:line="360" w:lineRule="auto"/>
        <w:rPr>
          <w:rFonts w:hint="eastAsia" w:ascii="宋体" w:hAnsi="宋体" w:eastAsia="宋体" w:cs="宋体"/>
          <w:sz w:val="24"/>
          <w:szCs w:val="20"/>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sz w:val="36"/>
          <w:szCs w:val="36"/>
          <w:highlight w:val="none"/>
        </w:rPr>
      </w:pPr>
      <w:r>
        <w:rPr>
          <w:rFonts w:hint="eastAsia" w:ascii="宋体" w:hAnsi="宋体" w:eastAsia="宋体" w:cs="宋体"/>
          <w:b/>
          <w:bCs/>
          <w:sz w:val="36"/>
          <w:szCs w:val="36"/>
          <w:highlight w:val="none"/>
        </w:rPr>
        <w:t xml:space="preserve">残疾人福利性单位声明函格式</w:t>
      </w:r>
      <w:r>
        <w:rPr>
          <w:rFonts w:hint="eastAsia" w:ascii="宋体" w:hAnsi="宋体" w:eastAsia="宋体" w:cs="宋体"/>
          <w:b/>
          <w:sz w:val="36"/>
          <w:szCs w:val="36"/>
          <w:highlight w:val="none"/>
        </w:rPr>
        <w:t xml:space="preserve">       </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p>
    <w:p>
      <w:pPr>
        <w:ind w:firstLine="482"/>
        <w:spacing w:line="588" w:lineRule="exact"/>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p>
    <w:p>
      <w:pPr>
        <w:ind w:firstLine="482"/>
        <w:spacing w:line="588" w:lineRule="exact"/>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2-2 </w:t>
      </w:r>
      <w:r>
        <w:rPr>
          <w:rFonts w:hint="eastAsia" w:ascii="宋体" w:hAnsi="宋体" w:eastAsia="宋体" w:cs="宋体"/>
          <w:b/>
          <w:sz w:val="24"/>
          <w:highlight w:val="none"/>
        </w:rPr>
        <w:t xml:space="preserve">其它落实政府采购政策的资格要求</w:t>
      </w:r>
      <w:r>
        <w:rPr>
          <w:rFonts w:hint="eastAsia" w:ascii="宋体" w:hAnsi="宋体" w:eastAsia="宋体" w:cs="宋体"/>
          <w:b/>
          <w:sz w:val="24"/>
          <w:szCs w:val="20"/>
          <w:highlight w:val="none"/>
        </w:rPr>
        <w:t xml:space="preserve">（如有）</w:t>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highlight w:val="none"/>
        </w:rPr>
      </w:pPr>
      <w:r>
        <w:rPr>
          <w:rFonts w:hint="eastAsia" w:ascii="宋体" w:hAnsi="宋体" w:eastAsia="宋体" w:cs="宋体"/>
          <w:b/>
          <w:sz w:val="24"/>
          <w:szCs w:val="20"/>
          <w:highlight w:val="none"/>
        </w:rPr>
        <w:t xml:space="preserve">3 </w:t>
      </w:r>
      <w:r>
        <w:rPr>
          <w:rFonts w:hint="eastAsia" w:ascii="宋体" w:hAnsi="宋体" w:eastAsia="宋体" w:cs="宋体"/>
          <w:b/>
          <w:sz w:val="24"/>
          <w:highlight w:val="none"/>
        </w:rPr>
        <w:t xml:space="preserve">本项目的特定资格要求</w:t>
      </w:r>
      <w:r>
        <w:rPr>
          <w:rFonts w:hint="eastAsia" w:ascii="宋体" w:hAnsi="宋体" w:eastAsia="宋体" w:cs="宋体"/>
          <w:b/>
          <w:sz w:val="24"/>
          <w:szCs w:val="20"/>
          <w:highlight w:val="none"/>
        </w:rPr>
        <w:t xml:space="preserve">（如有）</w:t>
      </w:r>
      <w:r/>
    </w:p>
    <w:p>
      <w:pPr>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3-1其他特定资格要求</w:t>
      </w:r>
      <w:r/>
    </w:p>
    <w:p>
      <w:pPr>
        <w:ind w:firstLine="422"/>
        <w:jc w:val="left"/>
        <w:spacing w:line="360" w:lineRule="auto"/>
        <w:tabs>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rFonts w:hint="eastAsia" w:ascii="宋体" w:hAnsi="宋体" w:eastAsia="宋体" w:cs="宋体"/>
          <w:b/>
          <w:sz w:val="32"/>
          <w:szCs w:val="32"/>
          <w:highlight w:val="none"/>
        </w:rPr>
      </w:pPr>
      <w:r>
        <w:rPr>
          <w:rFonts w:hint="eastAsia" w:ascii="宋体" w:hAnsi="宋体" w:eastAsia="宋体" w:cs="宋体"/>
          <w:sz w:val="24"/>
          <w:szCs w:val="20"/>
          <w:highlight w:val="none"/>
        </w:rPr>
        <w:br w:type="page" w:clear="all"/>
      </w:r>
      <w:r>
        <w:rPr>
          <w:rFonts w:hint="eastAsia" w:ascii="宋体" w:hAnsi="宋体" w:eastAsia="宋体" w:cs="宋体"/>
          <w:b/>
          <w:sz w:val="32"/>
          <w:szCs w:val="32"/>
          <w:highlight w:val="none"/>
        </w:rPr>
        <w:t xml:space="preserve">二、商务技术文件格式</w:t>
      </w:r>
      <w:bookmarkStart w:id="828" w:name="_Toc480942349"/>
      <w:r/>
      <w:bookmarkStart w:id="829" w:name="_Ref467988698"/>
      <w:r/>
      <w:bookmarkStart w:id="830" w:name="_Toc226965746"/>
      <w:r/>
      <w:bookmarkStart w:id="831" w:name="_Toc195842921"/>
      <w:r/>
      <w:bookmarkStart w:id="832" w:name="_Toc150774761"/>
      <w:r/>
      <w:bookmarkStart w:id="833" w:name="_Toc226965829"/>
      <w:r/>
      <w:bookmarkStart w:id="834" w:name="_Toc150480794"/>
      <w:r/>
      <w:bookmarkStart w:id="835" w:name="_Toc226337252"/>
      <w:r/>
      <w:bookmarkStart w:id="836" w:name="_Toc226309800"/>
      <w:r/>
      <w:bookmarkStart w:id="837" w:name="_Toc520356217"/>
      <w:r/>
      <w:bookmarkStart w:id="838" w:name="_Toc142311058"/>
      <w:r/>
      <w:bookmarkStart w:id="839" w:name="_Toc127151556"/>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highlight w:val="none"/>
        </w:rPr>
        <w:t xml:space="preserve">1</w:t>
      </w:r>
      <w:r>
        <w:rPr>
          <w:rFonts w:hint="eastAsia" w:ascii="宋体" w:hAnsi="宋体" w:eastAsia="宋体" w:cs="宋体"/>
          <w:b/>
          <w:sz w:val="24"/>
          <w:szCs w:val="20"/>
          <w:highlight w:val="none"/>
        </w:rPr>
        <w:t xml:space="preserve">  </w:t>
      </w:r>
      <w:r>
        <w:rPr>
          <w:rFonts w:hint="eastAsia" w:ascii="宋体" w:hAnsi="宋体" w:eastAsia="宋体" w:cs="宋体"/>
          <w:b/>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eastAsia="宋体" w:cs="宋体"/>
          <w:b/>
          <w:sz w:val="24"/>
          <w:highlight w:val="none"/>
        </w:rPr>
        <w:t xml:space="preserve">函</w:t>
      </w:r>
      <w:r>
        <w:rPr>
          <w:rFonts w:hint="eastAsia" w:ascii="宋体" w:hAnsi="宋体" w:eastAsia="宋体" w:cs="宋体"/>
          <w:b/>
          <w:sz w:val="24"/>
          <w:szCs w:val="20"/>
          <w:highlight w:val="none"/>
        </w:rPr>
        <w:t xml:space="preserve">（实质性格式）</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投标函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（采购人或采购代理机构）</w:t>
      </w:r>
      <w:r/>
    </w:p>
    <w:p>
      <w:pPr>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 我方</w:t>
      </w:r>
      <w:r>
        <w:rPr>
          <w:rFonts w:hint="eastAsia" w:ascii="宋体" w:hAnsi="宋体" w:eastAsia="宋体" w:cs="宋体"/>
          <w:sz w:val="24"/>
          <w:highlight w:val="none"/>
        </w:rPr>
        <w:t xml:space="preserve">已详细审查全部招标文件</w:t>
      </w:r>
      <w:r>
        <w:rPr>
          <w:rFonts w:hint="eastAsia" w:ascii="宋体" w:hAnsi="宋体" w:eastAsia="宋体" w:cs="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（1）本投标有效期为自提交投标文件的截止之日起</w:t>
      </w:r>
      <w:r>
        <w:rPr>
          <w:rFonts w:hint="eastAsia" w:ascii="宋体" w:hAnsi="宋体" w:eastAsia="宋体" w:cs="宋体"/>
          <w:sz w:val="24"/>
          <w:highlight w:val="none"/>
        </w:rPr>
        <w:t xml:space="preserve">60</w:t>
      </w:r>
      <w:r>
        <w:rPr>
          <w:rFonts w:hint="eastAsia" w:ascii="宋体" w:hAnsi="宋体" w:eastAsia="宋体" w:cs="宋体"/>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其他补充条款（如有）：</w:t>
      </w:r>
      <w:r>
        <w:rPr>
          <w:rFonts w:hint="eastAsia" w:ascii="宋体" w:hAnsi="宋体" w:eastAsia="宋体" w:cs="宋体"/>
          <w:sz w:val="24"/>
          <w:szCs w:val="20"/>
          <w:highlight w:val="none"/>
        </w:rPr>
        <w:t xml:space="preserve">___________</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地址________________________     传真____________________________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电话________________________     电子函件________________________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sz w:val="24"/>
          <w:szCs w:val="20"/>
          <w:highlight w:val="none"/>
          <w:u w:val="single"/>
        </w:rPr>
      </w:pPr>
      <w:r>
        <w:rPr>
          <w:rFonts w:hint="eastAsia" w:ascii="宋体" w:hAnsi="宋体" w:eastAsia="宋体" w:cs="宋体"/>
          <w:sz w:val="24"/>
          <w:szCs w:val="20"/>
          <w:highlight w:val="none"/>
          <w:u w:val="single"/>
        </w:rPr>
      </w:r>
      <w:r/>
    </w:p>
    <w:p>
      <w:pPr>
        <w:jc w:val="left"/>
        <w:widowControl/>
        <w:rPr>
          <w:rFonts w:hint="eastAsia" w:ascii="宋体" w:hAnsi="宋体" w:eastAsia="宋体" w:cs="宋体"/>
          <w:b/>
          <w:sz w:val="24"/>
          <w:highlight w:val="none"/>
        </w:rPr>
      </w:pPr>
      <w:r/>
      <w:bookmarkStart w:id="840" w:name="_Hlt520356243"/>
      <w:r/>
      <w:bookmarkEnd w:id="840"/>
      <w:r/>
      <w:bookmarkStart w:id="841" w:name="_Hlt520355938"/>
      <w:r/>
      <w:bookmarkEnd w:id="841"/>
      <w:r>
        <w:rPr>
          <w:rFonts w:hint="eastAsia" w:ascii="宋体" w:hAnsi="宋体" w:eastAsia="宋体" w:cs="宋体"/>
          <w:sz w:val="24"/>
          <w:highlight w:val="none"/>
        </w:rPr>
        <w:br w:type="page" w:clear="all"/>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2  法定代表人资格证明书</w:t>
      </w:r>
      <w:r>
        <w:rPr>
          <w:rFonts w:hint="eastAsia" w:ascii="宋体" w:hAnsi="宋体" w:eastAsia="宋体" w:cs="宋体"/>
          <w:b/>
          <w:sz w:val="24"/>
          <w:szCs w:val="20"/>
          <w:highlight w:val="none"/>
        </w:rPr>
        <w:t xml:space="preserve">（实质性格式）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法定代表人资格证明书</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的法定代表人。为参与</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的政府采购活动，</w:t>
      </w:r>
      <w:r>
        <w:rPr>
          <w:rFonts w:hint="eastAsia" w:ascii="宋体" w:hAnsi="宋体" w:eastAsia="宋体" w:cs="宋体"/>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68"/>
        <w:ind w:right="-46"/>
        <w:spacing w:line="583" w:lineRule="auto"/>
        <w:rPr>
          <w:rFonts w:hint="eastAsia" w:ascii="宋体" w:hAnsi="宋体" w:eastAsia="宋体" w:cs="宋体"/>
          <w:spacing w:val="-3"/>
          <w:highlight w:val="none"/>
        </w:rPr>
      </w:pPr>
      <w:r>
        <w:rPr>
          <w:rFonts w:hint="eastAsia" w:ascii="宋体" w:hAnsi="宋体" w:eastAsia="宋体" w:cs="宋体"/>
          <w:highlight w:val="none"/>
        </w:rPr>
        <w:t xml:space="preserve">附：</w:t>
      </w:r>
      <w:r>
        <w:rPr>
          <w:rFonts w:hint="eastAsia" w:ascii="宋体" w:hAnsi="宋体" w:eastAsia="宋体" w:cs="宋体"/>
          <w:spacing w:val="-3"/>
          <w:highlight w:val="none"/>
        </w:rPr>
        <w:t xml:space="preserve">法</w:t>
      </w:r>
      <w:r>
        <w:rPr>
          <w:rFonts w:hint="eastAsia" w:ascii="宋体" w:hAnsi="宋体" w:eastAsia="宋体" w:cs="宋体"/>
          <w:highlight w:val="none"/>
        </w:rPr>
        <w:t xml:space="preserve">定</w:t>
      </w:r>
      <w:r>
        <w:rPr>
          <w:rFonts w:hint="eastAsia" w:ascii="宋体" w:hAnsi="宋体" w:eastAsia="宋体" w:cs="宋体"/>
          <w:spacing w:val="-3"/>
          <w:highlight w:val="none"/>
        </w:rPr>
        <w:t xml:space="preserve">代</w:t>
      </w:r>
      <w:r>
        <w:rPr>
          <w:rFonts w:hint="eastAsia" w:ascii="宋体" w:hAnsi="宋体" w:eastAsia="宋体" w:cs="宋体"/>
          <w:highlight w:val="none"/>
        </w:rPr>
        <w:t xml:space="preserve">表</w:t>
      </w:r>
      <w:r>
        <w:rPr>
          <w:rFonts w:hint="eastAsia" w:ascii="宋体" w:hAnsi="宋体" w:eastAsia="宋体" w:cs="宋体"/>
          <w:spacing w:val="-3"/>
          <w:highlight w:val="none"/>
        </w:rPr>
        <w:t xml:space="preserve">人</w:t>
      </w:r>
      <w:r>
        <w:rPr>
          <w:rFonts w:hint="eastAsia" w:ascii="宋体" w:hAnsi="宋体" w:eastAsia="宋体" w:cs="宋体"/>
          <w:highlight w:val="none"/>
        </w:rPr>
        <w:t xml:space="preserve">（</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）有效期内的身份证正反面电子件。</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r>
    </w:tbl>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投标人：（加盖公章）</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sz w:val="24"/>
          <w:szCs w:val="20"/>
          <w:highlight w:val="none"/>
        </w:rPr>
        <w:t xml:space="preserve">签字、签章或印鉴</w:t>
      </w:r>
      <w:r>
        <w:rPr>
          <w:rFonts w:hint="eastAsia" w:ascii="宋体" w:hAnsi="宋体" w:eastAsia="宋体" w:cs="宋体"/>
          <w:sz w:val="24"/>
          <w:highlight w:val="none"/>
        </w:rPr>
        <w:t xml:space="preserve">：</w:t>
      </w:r>
      <w:r/>
    </w:p>
    <w:p>
      <w:pPr>
        <w:ind w:firstLine="432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说明：</w:t>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sz w:val="24"/>
          <w:szCs w:val="20"/>
          <w:highlight w:val="none"/>
          <w:u w:val="single"/>
        </w:rPr>
      </w:pPr>
      <w:r>
        <w:rPr>
          <w:rFonts w:hint="eastAsia" w:ascii="宋体" w:hAnsi="宋体" w:eastAsia="宋体" w:cs="宋体"/>
          <w:sz w:val="24"/>
          <w:szCs w:val="20"/>
          <w:highlight w:val="none"/>
        </w:rPr>
        <w:t xml:space="preserve">2.供应商为自然人的情形，可不提供本《法定代表人资格证明书》。</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  授权委托书（实质性格式）</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36"/>
          <w:szCs w:val="36"/>
          <w:highlight w:val="none"/>
          <w:lang w:val="en-US" w:eastAsia="zh-CN" w:bidi="ar-SA"/>
        </w:rPr>
        <w:t xml:space="preserve">授权委托书</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本授权委托书声明：我 ___________(姓名)（身份证号码：________________）系_________________（投标人名称）的法定代表人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单位负责人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现授权委托__________________（被授权人的姓名、职务）（身份证号码：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本授权书于__________年_______月________日签字或盖章生效，特此声明。</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投标人公章：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单位负责人</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签章或印鉴</w:t>
      </w:r>
      <w:r>
        <w:rPr>
          <w:rFonts w:hint="eastAsia" w:ascii="宋体" w:hAnsi="宋体" w:eastAsia="宋体" w:cs="宋体"/>
          <w:color w:val="000000"/>
          <w:sz w:val="24"/>
          <w:highlight w:val="none"/>
        </w:rPr>
        <w:t xml:space="preserve">：         联系电话：</w:t>
      </w:r>
      <w:r/>
    </w:p>
    <w:p>
      <w:pPr>
        <w:pStyle w:val="12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委托代理人（被授权人）签字或盖章：           联系电话：</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46"/>
        <w:jc w:val="both"/>
        <w:spacing w:before="120" w:line="583" w:lineRule="auto"/>
        <w:widowControl w:val="off"/>
        <w:rPr>
          <w:rFonts w:hint="eastAsia" w:ascii="宋体" w:hAnsi="宋体" w:eastAsia="宋体" w:cs="宋体"/>
          <w:b/>
          <w:bCs/>
          <w:color w:val="000000"/>
          <w:spacing w:val="-3"/>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附：委托代理人（被授权人）</w:t>
      </w:r>
      <w:r>
        <w:rPr>
          <w:rFonts w:hint="eastAsia" w:ascii="宋体" w:hAnsi="宋体" w:eastAsia="宋体" w:cs="宋体"/>
          <w:b/>
          <w:bCs/>
          <w:color w:val="000000"/>
          <w:spacing w:val="-3"/>
          <w:sz w:val="24"/>
          <w:szCs w:val="24"/>
          <w:highlight w:val="none"/>
          <w:lang w:val="en-US" w:eastAsia="zh-CN" w:bidi="ar-SA"/>
        </w:rPr>
        <w:t xml:space="preserve">有效期内的身份证正反面。</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备注：授权委托人需为投标人正式职工，提供投标人近三个月内任意一个月（自招标之日往前推）为其缴纳社保的记录（法定代表人参加投标时，可不提供授权委托书）。</w:t>
      </w:r>
      <w:r/>
    </w:p>
    <w:p>
      <w:pPr>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b/>
          <w:color w:val="000000"/>
          <w:sz w:val="24"/>
          <w:highlight w:val="none"/>
        </w:rPr>
        <w:br w:type="page" w:clear="all"/>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政府采购供应商信用承诺书</w:t>
      </w:r>
      <w:r>
        <w:rPr>
          <w:rFonts w:hint="eastAsia" w:ascii="宋体" w:hAnsi="宋体" w:eastAsia="宋体" w:cs="宋体"/>
          <w:b/>
          <w:sz w:val="24"/>
          <w:szCs w:val="20"/>
          <w:highlight w:val="none"/>
        </w:rPr>
        <w:t xml:space="preserve">（实质性格式）</w:t>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政府采购供应商信用承诺书</w:t>
      </w:r>
      <w:r/>
    </w:p>
    <w:p>
      <w:pPr>
        <w:ind w:firstLine="640"/>
        <w:rPr>
          <w:rFonts w:hint="eastAsia" w:ascii="宋体" w:hAnsi="宋体" w:eastAsia="宋体" w:cs="宋体"/>
          <w:highlight w:val="none"/>
        </w:rPr>
      </w:pPr>
      <w:r>
        <w:rPr>
          <w:rFonts w:hint="eastAsia" w:ascii="宋体" w:hAnsi="宋体" w:eastAsia="宋体" w:cs="宋体"/>
          <w:highlight w:val="none"/>
        </w:rPr>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p>
    <w:p>
      <w:pPr>
        <w:pStyle w:val="1284"/>
        <w:ind w:right="1050" w:firstLine="2880"/>
        <w:jc w:val="both"/>
        <w:spacing w:line="276"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jc w:val="left"/>
        <w:widowControl/>
        <w:rPr>
          <w:rFonts w:hint="eastAsia" w:ascii="宋体" w:hAnsi="宋体" w:eastAsia="宋体" w:cs="宋体"/>
          <w:sz w:val="24"/>
          <w:szCs w:val="20"/>
          <w:highlight w:val="none"/>
        </w:rPr>
      </w:pPr>
      <w:r/>
      <w:bookmarkStart w:id="842" w:name="_Hlt520343392"/>
      <w:r/>
      <w:bookmarkEnd w:id="842"/>
      <w:r/>
      <w:bookmarkStart w:id="843" w:name="_Hlt520274407"/>
      <w:r/>
      <w:bookmarkEnd w:id="843"/>
      <w:r/>
      <w:bookmarkStart w:id="844" w:name="_Hlt520343000"/>
      <w:r/>
      <w:bookmarkEnd w:id="844"/>
      <w:r/>
      <w:bookmarkStart w:id="845" w:name="_Hlt520274393"/>
      <w:r/>
      <w:bookmarkEnd w:id="845"/>
      <w:r/>
      <w:bookmarkStart w:id="846" w:name="_Hlt520271212"/>
      <w:r/>
      <w:bookmarkEnd w:id="846"/>
      <w:r/>
      <w:bookmarkStart w:id="847" w:name="_Hlt520273711"/>
      <w:r/>
      <w:bookmarkEnd w:id="847"/>
      <w:r/>
      <w:bookmarkStart w:id="848" w:name="_Hlt520355504"/>
      <w:r/>
      <w:bookmarkEnd w:id="848"/>
      <w:r/>
      <w:bookmarkStart w:id="849" w:name="_Hlt520274121"/>
      <w:r/>
      <w:bookmarkEnd w:id="849"/>
      <w:r/>
      <w:bookmarkStart w:id="850" w:name="_Hlt520350918"/>
      <w:r/>
      <w:bookmarkEnd w:id="850"/>
      <w:r/>
      <w:bookmarkStart w:id="851" w:name="_Hlt520274065"/>
      <w:r/>
      <w:bookmarkEnd w:id="851"/>
      <w:r/>
      <w:bookmarkStart w:id="852" w:name="_Toc265228395"/>
      <w:r/>
      <w:bookmarkStart w:id="853" w:name="_Toc226309801"/>
      <w:r/>
      <w:bookmarkStart w:id="854" w:name="_Toc150480795"/>
      <w:r/>
      <w:bookmarkStart w:id="855" w:name="_Toc226337253"/>
      <w:r/>
      <w:bookmarkStart w:id="856" w:name="_Toc480942350"/>
      <w:r/>
      <w:bookmarkStart w:id="857" w:name="_Toc305158825"/>
      <w:r/>
      <w:bookmarkStart w:id="858" w:name="_Ref467988705"/>
      <w:r/>
      <w:bookmarkStart w:id="859" w:name="_Toc195842922"/>
      <w:r/>
      <w:bookmarkStart w:id="860" w:name="_Toc150774762"/>
      <w:r/>
      <w:bookmarkStart w:id="861" w:name="_Toc226965830"/>
      <w:r/>
      <w:bookmarkStart w:id="862" w:name="_Toc226965747"/>
      <w:r/>
      <w:bookmarkStart w:id="863" w:name="_Toc305158899"/>
      <w:r/>
      <w:bookmarkStart w:id="864" w:name="_Toc142311059"/>
      <w:r/>
      <w:bookmarkStart w:id="865" w:name="_Toc264969247"/>
      <w:r/>
      <w:bookmarkStart w:id="866" w:name="_Toc520356218"/>
      <w:r/>
      <w:bookmarkStart w:id="867" w:name="_Toc127151557"/>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lang w:val="en-US" w:eastAsia="zh-CN"/>
        </w:rPr>
        <w:t xml:space="preserve">5</w:t>
      </w:r>
      <w:r>
        <w:rPr>
          <w:rFonts w:hint="eastAsia" w:ascii="宋体" w:hAnsi="宋体" w:eastAsia="宋体" w:cs="宋体"/>
          <w:b/>
          <w:sz w:val="24"/>
          <w:szCs w:val="20"/>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hint="eastAsia" w:ascii="宋体" w:hAnsi="宋体" w:eastAsia="宋体" w:cs="宋体"/>
          <w:b/>
          <w:sz w:val="24"/>
          <w:szCs w:val="20"/>
          <w:highlight w:val="none"/>
        </w:rPr>
        <w:t xml:space="preserve">（实质性格式）</w:t>
      </w:r>
      <w:r/>
    </w:p>
    <w:p>
      <w:pPr>
        <w:jc w:val="center"/>
        <w:spacing w:line="360" w:lineRule="exact"/>
        <w:rPr>
          <w:rFonts w:hint="eastAsia" w:ascii="宋体" w:hAnsi="宋体" w:eastAsia="宋体" w:cs="宋体"/>
          <w:b/>
          <w:sz w:val="36"/>
          <w:szCs w:val="36"/>
          <w:highlight w:val="none"/>
        </w:rPr>
      </w:pPr>
      <w:r/>
      <w:bookmarkStart w:id="868" w:name="_Toc195842923"/>
      <w:r/>
      <w:bookmarkStart w:id="869" w:name="_Toc305158900"/>
      <w:r/>
      <w:bookmarkStart w:id="870" w:name="_Toc226965748"/>
      <w:r/>
      <w:bookmarkStart w:id="871" w:name="_Toc226965831"/>
      <w:r/>
      <w:bookmarkStart w:id="872" w:name="_Toc305158826"/>
      <w:r/>
      <w:bookmarkStart w:id="873" w:name="_Toc265228396"/>
      <w:r/>
      <w:bookmarkStart w:id="874" w:name="_Toc226337254"/>
      <w:r/>
      <w:bookmarkStart w:id="875" w:name="_Toc164608672"/>
      <w:r/>
      <w:bookmarkStart w:id="876" w:name="_Toc226309802"/>
      <w:r/>
      <w:bookmarkStart w:id="877" w:name="_Toc164608827"/>
      <w:r/>
      <w:bookmarkStart w:id="878" w:name="_Toc264969248"/>
      <w:r>
        <w:rPr>
          <w:rFonts w:hint="eastAsia" w:ascii="宋体" w:hAnsi="宋体" w:eastAsia="宋体" w:cs="宋体"/>
          <w:b/>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hint="eastAsia" w:ascii="宋体" w:hAnsi="宋体" w:eastAsia="宋体" w:cs="宋体"/>
          <w:i/>
          <w:sz w:val="24"/>
          <w:highlight w:val="none"/>
        </w:rPr>
      </w:pPr>
      <w:r>
        <w:rPr>
          <w:rFonts w:hint="eastAsia" w:ascii="宋体" w:hAnsi="宋体" w:eastAsia="宋体" w:cs="宋体"/>
          <w:i/>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项目编号/包号：_____________________    </w:t>
      </w:r>
      <w:r/>
    </w:p>
    <w:p>
      <w:pPr>
        <w:ind w:firstLine="24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项目名称：____________</w:t>
      </w:r>
      <w:r/>
    </w:p>
    <w:tbl>
      <w:tblPr>
        <w:tblStyle w:val="86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投标报价（单位：元）</w:t>
            </w:r>
            <w:r/>
          </w:p>
        </w:tc>
      </w:tr>
      <w:tr>
        <w:trPr>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2215" w:type="pct"/>
            <w:vAlign w:val="center"/>
            <w:vMerge w:val="continue"/>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8"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大写</w:t>
            </w:r>
            <w:r/>
          </w:p>
        </w:tc>
        <w:tc>
          <w:tcPr>
            <w:tcW w:w="1182"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2215"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8"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2"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rPr>
          <w:rFonts w:hint="eastAsia" w:ascii="宋体" w:hAnsi="宋体" w:eastAsia="宋体" w:cs="宋体"/>
          <w:sz w:val="24"/>
          <w:highlight w:val="none"/>
        </w:rPr>
      </w:pPr>
      <w:r>
        <w:rPr>
          <w:rFonts w:hint="eastAsia" w:ascii="宋体" w:hAnsi="宋体" w:eastAsia="宋体" w:cs="宋体"/>
          <w:sz w:val="24"/>
          <w:highlight w:val="none"/>
        </w:rPr>
      </w:r>
      <w:r/>
    </w:p>
    <w:p>
      <w:pPr>
        <w:jc w:val="left"/>
        <w:rPr>
          <w:rFonts w:hint="eastAsia" w:ascii="宋体" w:hAnsi="宋体" w:eastAsia="宋体" w:cs="宋体"/>
          <w:sz w:val="24"/>
          <w:szCs w:val="20"/>
          <w:highlight w:val="none"/>
        </w:rPr>
      </w:pPr>
      <w:r>
        <w:rPr>
          <w:rFonts w:hint="eastAsia" w:ascii="宋体" w:hAnsi="宋体" w:eastAsia="宋体" w:cs="宋体"/>
          <w:sz w:val="24"/>
          <w:highlight w:val="none"/>
        </w:rPr>
        <w:t xml:space="preserve">注：1</w:t>
      </w:r>
      <w:r>
        <w:rPr>
          <w:rFonts w:hint="eastAsia" w:ascii="宋体" w:hAnsi="宋体" w:eastAsia="宋体" w:cs="宋体"/>
          <w:sz w:val="24"/>
          <w:szCs w:val="20"/>
          <w:highlight w:val="none"/>
        </w:rPr>
        <w:t xml:space="preserve">.此表中，每包的投标报价应和《投标分项报价表》中的总价相一致。</w:t>
      </w:r>
      <w:r/>
    </w:p>
    <w:p>
      <w:pPr>
        <w:jc w:val="left"/>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    2.此表为常州市第三人民医院医疗责任险、财产险项目保费合计</w:t>
      </w:r>
      <w:r/>
    </w:p>
    <w:p>
      <w:pPr>
        <w:jc w:val="left"/>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（“报价表一”+“报价表二”）</w:t>
      </w:r>
      <w:r/>
    </w:p>
    <w:p>
      <w:pPr>
        <w:spacing w:before="25" w:after="25"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jc w:val="left"/>
        <w:widowControl/>
        <w:rPr>
          <w:rFonts w:hint="eastAsia" w:ascii="宋体" w:hAnsi="宋体" w:eastAsia="宋体" w:cs="宋体"/>
          <w:sz w:val="24"/>
          <w:szCs w:val="20"/>
          <w:highlight w:val="none"/>
        </w:rPr>
      </w:pPr>
      <w:r/>
      <w:bookmarkStart w:id="879" w:name="_Toc226965749"/>
      <w:r/>
      <w:bookmarkStart w:id="880" w:name="_Toc305158901"/>
      <w:r/>
      <w:bookmarkStart w:id="881" w:name="_Toc226337255"/>
      <w:r/>
      <w:bookmarkStart w:id="882" w:name="_Toc305158827"/>
      <w:r/>
      <w:bookmarkStart w:id="883" w:name="_Toc195842924"/>
      <w:r/>
      <w:bookmarkStart w:id="884" w:name="_Toc150480796"/>
      <w:r/>
      <w:bookmarkStart w:id="885" w:name="_Toc226309803"/>
      <w:r/>
      <w:bookmarkStart w:id="886" w:name="_Toc226965832"/>
      <w:r/>
      <w:bookmarkStart w:id="887" w:name="_Toc127151558"/>
      <w:r/>
      <w:bookmarkStart w:id="888" w:name="_Toc265228397"/>
      <w:r/>
      <w:bookmarkStart w:id="889" w:name="_Toc150774763"/>
      <w:r/>
      <w:bookmarkStart w:id="890" w:name="_Toc142311060"/>
      <w:r/>
      <w:bookmarkStart w:id="891" w:name="_Toc264969249"/>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sz w:val="36"/>
          <w:szCs w:val="36"/>
          <w:highlight w:val="none"/>
        </w:rPr>
        <w:outlineLvl w:val="2"/>
      </w:pPr>
      <w:r>
        <w:rPr>
          <w:rFonts w:hint="eastAsia" w:ascii="宋体" w:hAnsi="宋体" w:eastAsia="宋体" w:cs="宋体"/>
          <w:b/>
          <w:sz w:val="24"/>
          <w:szCs w:val="20"/>
          <w:highlight w:val="none"/>
          <w:lang w:val="en-US" w:eastAsia="zh-CN"/>
        </w:rPr>
        <w:t xml:space="preserve">6</w:t>
      </w:r>
      <w:r>
        <w:rPr>
          <w:rFonts w:hint="eastAsia" w:ascii="宋体" w:hAnsi="宋体" w:eastAsia="宋体" w:cs="宋体"/>
          <w:b/>
          <w:sz w:val="24"/>
          <w:szCs w:val="20"/>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hint="eastAsia" w:ascii="宋体" w:hAnsi="宋体" w:eastAsia="宋体" w:cs="宋体"/>
          <w:b/>
          <w:sz w:val="24"/>
          <w:szCs w:val="20"/>
          <w:highlight w:val="none"/>
        </w:rPr>
        <w:t xml:space="preserve">（实质性格式）</w:t>
      </w:r>
      <w:r/>
    </w:p>
    <w:p>
      <w:pPr>
        <w:jc w:val="center"/>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t xml:space="preserve">（一）投标分项报价表</w:t>
      </w:r>
      <w:r/>
    </w:p>
    <w:tbl>
      <w:tblPr>
        <w:tblStyle w:val="863"/>
        <w:tblW w:w="5261" w:type="pct"/>
        <w:jc w:val="center"/>
        <w:tblLayout w:type="autofit"/>
        <w:tblCellMar>
          <w:left w:w="108" w:type="dxa"/>
          <w:top w:w="0" w:type="dxa"/>
          <w:right w:w="108" w:type="dxa"/>
          <w:bottom w:w="0" w:type="dxa"/>
        </w:tblCellMar>
        <w:tblLook w:val="04A0" w:firstRow="1" w:lastRow="0" w:firstColumn="1" w:lastColumn="0" w:noHBand="0" w:noVBand="1"/>
      </w:tblPr>
      <w:tblGrid>
        <w:gridCol w:w="1126"/>
        <w:gridCol w:w="692"/>
        <w:gridCol w:w="809"/>
        <w:gridCol w:w="864"/>
        <w:gridCol w:w="602"/>
        <w:gridCol w:w="862"/>
        <w:gridCol w:w="489"/>
        <w:gridCol w:w="1437"/>
        <w:gridCol w:w="500"/>
        <w:gridCol w:w="1331"/>
        <w:gridCol w:w="1061"/>
      </w:tblGrid>
      <w:tr>
        <w:trPr>
          <w:jc w:val="center"/>
          <w:trHeight w:val="330"/>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分项报价表一</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医疗机构名称（简称）</w:t>
            </w:r>
            <w:r/>
          </w:p>
        </w:tc>
        <w:tc>
          <w:tcPr>
            <w:gridSpan w:val="5"/>
            <w:tcBorders>
              <w:top w:val="single" w:color="auto" w:sz="4" w:space="0"/>
              <w:left w:val="single" w:color="auto" w:sz="4" w:space="0"/>
              <w:bottom w:val="single" w:color="auto" w:sz="4" w:space="0"/>
              <w:right w:val="single" w:color="auto" w:sz="4" w:space="0"/>
            </w:tcBorders>
            <w:tcW w:w="195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财产综合险</w:t>
            </w:r>
            <w:r/>
          </w:p>
        </w:tc>
        <w:tc>
          <w:tcPr>
            <w:gridSpan w:val="4"/>
            <w:tcBorders>
              <w:top w:val="single" w:color="auto" w:sz="4" w:space="0"/>
              <w:left w:val="single" w:color="auto" w:sz="4" w:space="0"/>
              <w:bottom w:val="single" w:color="auto" w:sz="4" w:space="0"/>
              <w:right w:val="single" w:color="auto" w:sz="4" w:space="0"/>
            </w:tcBorders>
            <w:tcW w:w="192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机器设备损坏险</w:t>
            </w:r>
            <w:r/>
          </w:p>
        </w:tc>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保费合计（元/年）</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保险金额（万元）</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费率</w:t>
            </w:r>
            <w:r/>
          </w:p>
        </w:tc>
        <w:tc>
          <w:tcPr>
            <w:gridSpan w:val="2"/>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保费（元/年）</w:t>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保险金额（万元）</w:t>
            </w:r>
            <w:r/>
          </w:p>
        </w:tc>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费率</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保费（元/年）</w:t>
            </w:r>
            <w:r/>
          </w:p>
        </w:tc>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院</w:t>
            </w:r>
            <w:r/>
          </w:p>
        </w:tc>
        <w:tc>
          <w:tcPr>
            <w:gridSpan w:val="2"/>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108708.54</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9588.10</w:t>
            </w:r>
            <w:r/>
          </w:p>
        </w:tc>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330"/>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right"/>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两</w:t>
            </w:r>
            <w:r>
              <w:rPr>
                <w:rFonts w:hint="eastAsia" w:ascii="宋体" w:hAnsi="宋体" w:eastAsia="宋体" w:cs="宋体"/>
                <w:sz w:val="24"/>
                <w:szCs w:val="24"/>
                <w:highlight w:val="none"/>
                <w:lang w:val="en-US" w:eastAsia="zh-CN"/>
              </w:rPr>
              <w:t xml:space="preserve">年保费合计：￥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rPr>
              <w:t xml:space="preserve">分项报价表二（医责险）</w:t>
            </w:r>
            <w:r/>
          </w:p>
        </w:tc>
      </w:tr>
      <w:tr>
        <w:trPr>
          <w:cantSplit/>
          <w:jc w:val="center"/>
          <w:trHeight w:val="315"/>
        </w:trPr>
        <w:tc>
          <w:tcPr>
            <w:gridSpan w:val="2"/>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医疗机构名称（简称）</w:t>
            </w:r>
            <w:r/>
          </w:p>
        </w:tc>
        <w:tc>
          <w:tcPr>
            <w:gridSpan w:val="3"/>
            <w:tcBorders>
              <w:top w:val="single" w:color="auto" w:sz="4" w:space="0"/>
              <w:left w:val="single" w:color="auto" w:sz="4" w:space="0"/>
              <w:bottom w:val="single" w:color="auto" w:sz="4" w:space="0"/>
              <w:right w:val="single" w:color="auto" w:sz="4" w:space="0"/>
            </w:tcBorders>
            <w:tcW w:w="116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年度累计赔偿限额（万元/年）</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每人每次限额（万元/人/次）</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最高限价（万元/年）</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报价（元/年）</w:t>
            </w:r>
            <w:r/>
          </w:p>
        </w:tc>
      </w:tr>
      <w:tr>
        <w:trPr>
          <w:jc w:val="center"/>
          <w:trHeight w:val="315"/>
        </w:trPr>
        <w:tc>
          <w:tcPr>
            <w:gridSpan w:val="2"/>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院</w:t>
            </w:r>
            <w:r/>
          </w:p>
        </w:tc>
        <w:tc>
          <w:tcPr>
            <w:gridSpan w:val="3"/>
            <w:tcBorders>
              <w:top w:val="single" w:color="auto" w:sz="4" w:space="0"/>
              <w:left w:val="single" w:color="auto" w:sz="4" w:space="0"/>
              <w:bottom w:val="single" w:color="auto" w:sz="4" w:space="0"/>
              <w:right w:val="single" w:color="auto" w:sz="4" w:space="0"/>
            </w:tcBorders>
            <w:tcW w:w="1163"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p>
        </w:tc>
        <w:tc>
          <w:tcPr>
            <w:gridSpan w:val="2"/>
            <w:tcBorders>
              <w:top w:val="single" w:color="auto" w:sz="4" w:space="0"/>
              <w:left w:val="single" w:color="auto" w:sz="4" w:space="0"/>
              <w:bottom w:val="single" w:color="auto" w:sz="4" w:space="0"/>
              <w:right w:val="single" w:color="auto" w:sz="4" w:space="0"/>
            </w:tcBorders>
            <w:tcW w:w="691" w:type="pct"/>
            <w:vAlign w:val="bottom"/>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right"/>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两</w:t>
            </w:r>
            <w:r>
              <w:rPr>
                <w:rFonts w:hint="eastAsia" w:ascii="宋体" w:hAnsi="宋体" w:eastAsia="宋体" w:cs="宋体"/>
                <w:sz w:val="24"/>
                <w:szCs w:val="24"/>
                <w:highlight w:val="none"/>
                <w:lang w:val="en-US" w:eastAsia="zh-CN"/>
              </w:rPr>
              <w:t xml:space="preserve">年保费合计：￥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分项报价表三（附加承诺保障）</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险种</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限额（万元/人/次）</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累计限额（万元/年）</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医疗机构医责险附加医疗机构场所责任保险限额</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300</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医疗机构医责险附加医务人员遭受伤害责任保险死亡伤残限额</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w:t>
            </w:r>
            <w:r/>
          </w:p>
        </w:tc>
      </w:tr>
    </w:tbl>
    <w:p>
      <w:pPr>
        <w:jc w:val="both"/>
        <w:spacing w:line="26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268"/>
        <w:ind w:left="0"/>
        <w:jc w:val="center"/>
        <w:spacing w:line="360" w:lineRule="auto"/>
        <w:rPr>
          <w:rFonts w:hint="eastAsia" w:ascii="宋体" w:hAnsi="宋体" w:eastAsia="宋体" w:cs="宋体"/>
          <w:color w:val="000000"/>
          <w:highlight w:val="none"/>
          <w:lang w:eastAsia="zh-CN"/>
        </w:rPr>
        <w:outlineLvl w:val="1"/>
      </w:pPr>
      <w:r>
        <w:rPr>
          <w:rFonts w:hint="eastAsia" w:ascii="宋体" w:hAnsi="宋体" w:eastAsia="宋体" w:cs="宋体"/>
          <w:b/>
          <w:i/>
          <w:color w:val="000000"/>
          <w:sz w:val="32"/>
          <w:szCs w:val="32"/>
          <w:highlight w:val="none"/>
          <w:u w:val="single"/>
          <w:lang w:eastAsia="zh-CN"/>
        </w:rPr>
        <w:t xml:space="preserve">（一）</w:t>
      </w:r>
      <w:r>
        <w:rPr>
          <w:rFonts w:hint="eastAsia" w:ascii="宋体" w:hAnsi="宋体" w:eastAsia="宋体" w:cs="宋体"/>
          <w:b/>
          <w:i/>
          <w:color w:val="000000"/>
          <w:sz w:val="32"/>
          <w:szCs w:val="32"/>
          <w:highlight w:val="none"/>
          <w:u w:val="single"/>
          <w:lang w:val="en-US" w:eastAsia="zh-CN"/>
        </w:rPr>
        <w:t xml:space="preserve">投标</w:t>
      </w:r>
      <w:r>
        <w:rPr>
          <w:rFonts w:hint="eastAsia" w:ascii="宋体" w:hAnsi="宋体" w:eastAsia="宋体" w:cs="宋体"/>
          <w:b/>
          <w:i/>
          <w:color w:val="000000"/>
          <w:sz w:val="32"/>
          <w:szCs w:val="32"/>
          <w:highlight w:val="none"/>
          <w:u w:val="single"/>
          <w:lang w:eastAsia="zh-CN"/>
        </w:rPr>
        <w:t xml:space="preserve">报价表汇总</w:t>
      </w:r>
      <w:r/>
    </w:p>
    <w:tbl>
      <w:tblPr>
        <w:tblStyle w:val="863"/>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862"/>
        <w:gridCol w:w="2652"/>
        <w:gridCol w:w="2678"/>
        <w:gridCol w:w="2089"/>
      </w:tblGrid>
      <w:tr>
        <w:trPr>
          <w:jc w:val="center"/>
          <w:trHeight w:val="1340"/>
        </w:trPr>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tcPr>
          <w:p>
            <w:pPr>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bidi="ar"/>
              </w:rPr>
              <w:t xml:space="preserve">医疗机构名称</w:t>
            </w:r>
            <w:r/>
          </w:p>
        </w:tc>
        <w:tc>
          <w:tcPr>
            <w:tcBorders>
              <w:top w:val="single" w:color="000000" w:sz="4" w:space="0"/>
              <w:left w:val="single" w:color="000000" w:sz="4" w:space="0"/>
              <w:bottom w:val="single" w:color="000000" w:sz="4" w:space="0"/>
              <w:right w:val="single" w:color="000000" w:sz="4" w:space="0"/>
            </w:tcBorders>
            <w:tcW w:w="1428" w:type="pct"/>
            <w:vAlign w:val="center"/>
            <w:textDirection w:val="lrTb"/>
            <w:noWrap w:val="false"/>
          </w:tcPr>
          <w:p>
            <w:pPr>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bidi="ar"/>
              </w:rPr>
              <w:t xml:space="preserve">每年：</w:t>
            </w:r>
            <w:r>
              <w:rPr>
                <w:rFonts w:hint="eastAsia" w:ascii="宋体" w:hAnsi="宋体" w:eastAsia="宋体" w:cs="宋体"/>
                <w:b/>
                <w:bCs/>
                <w:color w:val="000000"/>
                <w:highlight w:val="none"/>
                <w:lang w:bidi="ar"/>
              </w:rPr>
              <w:t xml:space="preserve">医疗机构报价（元）</w:t>
            </w:r>
            <w:r/>
          </w:p>
        </w:tc>
        <w:tc>
          <w:tcPr>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center"/>
              <w:widowControl/>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两</w:t>
            </w:r>
            <w:r>
              <w:rPr>
                <w:rFonts w:hint="eastAsia" w:ascii="宋体" w:hAnsi="宋体" w:eastAsia="宋体" w:cs="宋体"/>
                <w:b/>
                <w:bCs/>
                <w:color w:val="000000"/>
                <w:highlight w:val="none"/>
                <w:lang w:val="en-US" w:eastAsia="zh-CN"/>
              </w:rPr>
              <w:t xml:space="preserve">年：</w:t>
            </w:r>
            <w:r>
              <w:rPr>
                <w:rFonts w:hint="eastAsia" w:ascii="宋体" w:hAnsi="宋体" w:eastAsia="宋体" w:cs="宋体"/>
                <w:b/>
                <w:bCs/>
                <w:color w:val="000000"/>
                <w:highlight w:val="none"/>
                <w:lang w:bidi="ar"/>
              </w:rPr>
              <w:t xml:space="preserve">医疗机构报价（元）</w:t>
            </w:r>
            <w:r/>
          </w:p>
        </w:tc>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widowControl/>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医疗机构预算/最高限价（</w:t>
            </w:r>
            <w:r>
              <w:rPr>
                <w:rFonts w:hint="eastAsia" w:ascii="宋体" w:hAnsi="宋体" w:eastAsia="宋体" w:cs="宋体"/>
                <w:b/>
                <w:bCs/>
                <w:color w:val="000000"/>
                <w:highlight w:val="none"/>
                <w:lang w:val="en-US" w:eastAsia="zh-CN" w:bidi="ar"/>
              </w:rPr>
              <w:t xml:space="preserve">元</w:t>
            </w:r>
            <w:r>
              <w:rPr>
                <w:rFonts w:hint="eastAsia" w:ascii="宋体" w:hAnsi="宋体" w:eastAsia="宋体" w:cs="宋体"/>
                <w:b/>
                <w:bCs/>
                <w:color w:val="000000"/>
                <w:highlight w:val="none"/>
                <w:lang w:bidi="ar"/>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常州市第三人民医院</w:t>
            </w:r>
            <w:r/>
          </w:p>
        </w:tc>
        <w:tc>
          <w:tcPr>
            <w:tcBorders>
              <w:top w:val="single" w:color="000000" w:sz="4" w:space="0"/>
              <w:left w:val="single" w:color="000000" w:sz="4" w:space="0"/>
              <w:bottom w:val="single" w:color="000000" w:sz="4" w:space="0"/>
              <w:right w:val="single" w:color="000000" w:sz="4" w:space="0"/>
            </w:tcBorders>
            <w:tcW w:w="1428"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1755000元</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（877500元/年）</w:t>
            </w:r>
            <w:r/>
          </w:p>
        </w:tc>
      </w:tr>
    </w:tbl>
    <w:p>
      <w:pPr>
        <w:pStyle w:val="1268"/>
        <w:ind w:left="0" w:firstLine="0"/>
        <w:spacing w:line="360" w:lineRule="auto"/>
        <w:rPr>
          <w:rFonts w:hint="eastAsia" w:ascii="宋体" w:hAnsi="宋体" w:eastAsia="宋体" w:cs="宋体"/>
          <w:highlight w:val="none"/>
        </w:rPr>
        <w:outlineLvl w:val="1"/>
      </w:pPr>
      <w:r>
        <w:rPr>
          <w:rFonts w:hint="eastAsia" w:ascii="宋体" w:hAnsi="宋体" w:eastAsia="宋体" w:cs="宋体"/>
          <w:highlight w:val="none"/>
        </w:rPr>
      </w:r>
      <w:r/>
    </w:p>
    <w:p>
      <w:pPr>
        <w:jc w:val="left"/>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rPr>
        <w:t xml:space="preserve">注：</w:t>
      </w:r>
      <w:r>
        <w:rPr>
          <w:rFonts w:hint="eastAsia" w:ascii="宋体" w:hAnsi="宋体" w:eastAsia="宋体" w:cs="宋体"/>
          <w:b/>
          <w:bCs/>
          <w:sz w:val="24"/>
          <w:szCs w:val="24"/>
          <w:highlight w:val="none"/>
          <w:lang w:val="en-US" w:eastAsia="zh-CN"/>
        </w:rPr>
        <w:t xml:space="preserve">1.医疗责任险保费最高限价70万元</w:t>
      </w:r>
      <w:r>
        <w:rPr>
          <w:rFonts w:hint="eastAsia" w:ascii="宋体" w:hAnsi="宋体" w:cs="宋体"/>
          <w:b/>
          <w:bCs/>
          <w:sz w:val="24"/>
          <w:szCs w:val="24"/>
          <w:highlight w:val="none"/>
          <w:lang w:val="en-US" w:eastAsia="zh-CN"/>
        </w:rPr>
        <w:t xml:space="preserve">/年</w:t>
      </w:r>
      <w:r>
        <w:rPr>
          <w:rFonts w:hint="eastAsia" w:ascii="宋体" w:hAnsi="宋体" w:eastAsia="宋体" w:cs="宋体"/>
          <w:b/>
          <w:bCs/>
          <w:sz w:val="24"/>
          <w:szCs w:val="24"/>
          <w:highlight w:val="none"/>
          <w:lang w:val="en-US" w:eastAsia="zh-CN"/>
        </w:rPr>
        <w:t xml:space="preserve">；</w:t>
      </w:r>
      <w:r/>
    </w:p>
    <w:p>
      <w:pPr>
        <w:ind w:firstLine="482"/>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财产险、机损险保费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最高限价=医疗机构保费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最高限价-医疗责任险保费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w:t>
      </w:r>
      <w:r/>
    </w:p>
    <w:p>
      <w:pPr>
        <w:ind w:firstLine="482"/>
        <w:jc w:val="left"/>
        <w:rPr>
          <w:rFonts w:hint="eastAsia" w:ascii="宋体" w:hAnsi="宋体" w:eastAsia="宋体" w:cs="宋体"/>
          <w:b/>
          <w:bCs/>
          <w:i/>
          <w:iCs/>
          <w:color w:val="ff0000"/>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.投标人报价不得超过医疗机构最高限价，超过最高限价的报价视为无效投标。</w:t>
      </w:r>
      <w:r/>
    </w:p>
    <w:p>
      <w:pPr>
        <w:ind w:left="42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.分项报价表三（附加承诺保障）的保费由报价表二予以涵盖。</w:t>
      </w:r>
      <w:r/>
    </w:p>
    <w:p>
      <w:pPr>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.投标总价=分项报价表一+分项报价表二。</w:t>
      </w:r>
      <w:r/>
    </w:p>
    <w:p>
      <w:pPr>
        <w:jc w:val="left"/>
        <w:spacing w:line="360" w:lineRule="auto"/>
        <w:rPr>
          <w:rFonts w:hint="eastAsia" w:ascii="宋体" w:hAnsi="宋体" w:eastAsia="宋体" w:cs="宋体"/>
          <w:bCs/>
          <w:highlight w:val="none"/>
        </w:rPr>
      </w:pPr>
      <w:r>
        <w:rPr>
          <w:rFonts w:hint="eastAsia" w:ascii="宋体" w:hAnsi="宋体" w:eastAsia="宋体" w:cs="宋体"/>
          <w:bCs/>
          <w:color w:val="000000"/>
          <w:sz w:val="24"/>
          <w:highlight w:val="none"/>
        </w:rPr>
        <w:t xml:space="preserve">我司承诺：若中标严格按照本招标文件设置的保额进行承保。</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法定代表人（或负责人）（签字或盖章）：</w:t>
      </w:r>
      <w:r>
        <w:rPr>
          <w:rFonts w:hint="eastAsia" w:ascii="宋体" w:hAnsi="宋体" w:eastAsia="宋体" w:cs="宋体"/>
          <w:highlight w:val="none"/>
          <w:u w:val="single"/>
        </w:rPr>
        <w:t xml:space="preserve">                                          </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日期：</w:t>
      </w:r>
      <w:r>
        <w:rPr>
          <w:rFonts w:hint="eastAsia" w:ascii="宋体" w:hAnsi="宋体" w:eastAsia="宋体" w:cs="宋体"/>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left"/>
        <w:spacing w:before="240" w:after="240"/>
        <w:rPr>
          <w:rFonts w:hint="eastAsia" w:ascii="宋体" w:hAnsi="宋体" w:eastAsia="宋体" w:cs="宋体"/>
          <w:b/>
          <w:sz w:val="24"/>
          <w:szCs w:val="20"/>
          <w:highlight w:val="none"/>
        </w:rPr>
      </w:pPr>
      <w:r>
        <w:rPr>
          <w:rFonts w:hint="eastAsia" w:ascii="宋体" w:hAnsi="宋体" w:eastAsia="宋体" w:cs="宋体"/>
          <w:b/>
          <w:i/>
          <w:sz w:val="24"/>
          <w:highlight w:val="none"/>
        </w:rPr>
        <w:br w:type="page" w:clear="all"/>
      </w:r>
      <w:bookmarkStart w:id="892" w:name="_Toc226965752"/>
      <w:r/>
      <w:bookmarkStart w:id="893" w:name="_Toc305158904"/>
      <w:r/>
      <w:bookmarkStart w:id="894" w:name="_Toc305158830"/>
      <w:r/>
      <w:bookmarkStart w:id="895" w:name="_Toc226309806"/>
      <w:r/>
      <w:bookmarkStart w:id="896" w:name="_Toc150480798"/>
      <w:r/>
      <w:bookmarkStart w:id="897" w:name="_Toc226337258"/>
      <w:r/>
      <w:bookmarkStart w:id="898" w:name="_Toc226965835"/>
      <w:r/>
      <w:bookmarkStart w:id="899" w:name="_Toc264969252"/>
      <w:r/>
      <w:bookmarkStart w:id="900" w:name="_Toc142311062"/>
      <w:r/>
      <w:bookmarkStart w:id="901" w:name="_Toc150774765"/>
      <w:r/>
      <w:bookmarkStart w:id="902" w:name="_Toc195842927"/>
      <w:r/>
      <w:bookmarkStart w:id="903" w:name="_Toc127151562"/>
      <w:r/>
      <w:bookmarkStart w:id="904" w:name="_Toc265228400"/>
      <w:r/>
      <w:bookmarkStart w:id="905" w:name="_Toc305158829"/>
      <w:r/>
      <w:bookmarkStart w:id="906" w:name="_Toc226309805"/>
      <w:r/>
      <w:bookmarkStart w:id="907" w:name="_Toc305158903"/>
      <w:r/>
      <w:bookmarkStart w:id="908" w:name="_Toc226965751"/>
      <w:r/>
      <w:bookmarkStart w:id="909" w:name="_Toc265228399"/>
      <w:r/>
      <w:bookmarkStart w:id="910" w:name="_Toc150774764"/>
      <w:r/>
      <w:bookmarkStart w:id="911" w:name="_Toc127151561"/>
      <w:r/>
      <w:bookmarkStart w:id="912" w:name="_Toc226337257"/>
      <w:r/>
      <w:bookmarkStart w:id="913" w:name="_Toc264969251"/>
      <w:r/>
      <w:bookmarkStart w:id="914" w:name="_Toc150480797"/>
      <w:r/>
      <w:bookmarkStart w:id="915" w:name="_Toc226965834"/>
      <w:r/>
      <w:bookmarkStart w:id="916" w:name="_Toc195842926"/>
      <w:r/>
      <w:bookmarkStart w:id="917" w:name="_Toc142311061"/>
      <w:r>
        <w:rPr>
          <w:rFonts w:hint="eastAsia" w:ascii="宋体" w:hAnsi="宋体" w:eastAsia="宋体" w:cs="宋体"/>
          <w:b/>
          <w:sz w:val="24"/>
          <w:szCs w:val="20"/>
          <w:highlight w:val="none"/>
          <w:lang w:val="en-US" w:eastAsia="zh-CN"/>
        </w:rPr>
        <w:t xml:space="preserve">7</w:t>
      </w:r>
      <w:r>
        <w:rPr>
          <w:rFonts w:hint="eastAsia" w:ascii="宋体" w:hAnsi="宋体" w:eastAsia="宋体" w:cs="宋体"/>
          <w:b/>
          <w:sz w:val="24"/>
          <w:szCs w:val="20"/>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eastAsia="宋体" w:cs="宋体"/>
          <w:b/>
          <w:sz w:val="24"/>
          <w:szCs w:val="20"/>
          <w:highlight w:val="none"/>
        </w:rPr>
        <w:t xml:space="preserve">（实质性格式）</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center"/>
        <w:spacing w:line="360" w:lineRule="auto"/>
        <w:tabs>
          <w:tab w:val="left" w:pos="2775" w:leader="none"/>
          <w:tab w:val="center" w:pos="4153" w:leader="none"/>
        </w:tabs>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合同条款偏离表</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360"/>
        <w:jc w:val="left"/>
        <w:spacing w:line="360" w:lineRule="auto"/>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项目编号/包号：_____________________     项目名称：_____________</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对本项目合同条款的偏离情况（请进行勾选）：</w:t>
            </w:r>
            <w:r/>
          </w:p>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□无偏离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如无偏离，仅勾选无偏离即可</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b/>
                <w:sz w:val="24"/>
                <w:highlight w:val="none"/>
              </w:rPr>
              <w:t xml:space="preserve">□有偏离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如有偏离，</w:t>
            </w:r>
            <w:r>
              <w:rPr>
                <w:rFonts w:hint="eastAsia" w:ascii="宋体" w:hAnsi="宋体" w:eastAsia="宋体" w:cs="宋体"/>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szCs w:val="21"/>
                <w:highlight w:val="none"/>
              </w:rPr>
              <w:t xml:space="preserve">招标文件</w:t>
            </w:r>
            <w:r>
              <w:rPr>
                <w:rFonts w:hint="eastAsia" w:ascii="宋体" w:hAnsi="宋体" w:eastAsia="宋体" w:cs="宋体"/>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szCs w:val="21"/>
                <w:highlight w:val="none"/>
              </w:rPr>
              <w:t xml:space="preserve">招标文件</w:t>
            </w:r>
            <w:r>
              <w:rPr>
                <w:rFonts w:hint="eastAsia" w:ascii="宋体" w:hAnsi="宋体" w:eastAsia="宋体" w:cs="宋体"/>
                <w:sz w:val="24"/>
                <w:highlight w:val="none"/>
              </w:rPr>
              <w:t xml:space="preserve">要求</w:t>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 “偏离情况”列应据实填写“正偏离”或“负偏离”。</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sz w:val="24"/>
          <w:szCs w:val="20"/>
          <w:highlight w:val="none"/>
        </w:rPr>
        <w:br w:type="page" w:clear="all"/>
      </w:r>
      <w:r>
        <w:rPr>
          <w:rFonts w:hint="eastAsia" w:ascii="宋体" w:hAnsi="宋体" w:eastAsia="宋体" w:cs="宋体"/>
          <w:b/>
          <w:sz w:val="24"/>
          <w:szCs w:val="20"/>
          <w:highlight w:val="none"/>
          <w:lang w:val="en-US" w:eastAsia="zh-CN"/>
        </w:rPr>
        <w:t xml:space="preserve">8</w:t>
      </w:r>
      <w:r>
        <w:rPr>
          <w:rFonts w:hint="eastAsia" w:ascii="宋体" w:hAnsi="宋体" w:eastAsia="宋体" w:cs="宋体"/>
          <w:b/>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eastAsia="宋体" w:cs="宋体"/>
          <w:b/>
          <w:sz w:val="24"/>
          <w:szCs w:val="20"/>
          <w:highlight w:val="none"/>
        </w:rPr>
        <w:t xml:space="preserve">采购需求偏离表（实质性格式）</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项目编号/包号：_____________________     项目名称：____________</w:t>
      </w:r>
      <w:r/>
    </w:p>
    <w:tbl>
      <w:tblPr>
        <w:tblStyle w:val="86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940"/>
        <w:gridCol w:w="2310"/>
        <w:gridCol w:w="1237"/>
        <w:gridCol w:w="1783"/>
        <w:gridCol w:w="1379"/>
      </w:tblGrid>
      <w:tr>
        <w:trPr>
          <w:jc w:val="center"/>
          <w:trHeight w:val="930"/>
        </w:trPr>
        <w:tc>
          <w:tcPr>
            <w:gridSpan w:val="6"/>
            <w:tcW w:w="9645" w:type="dxa"/>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对本项目采购需求的偏离情况（请进行勾选）：</w:t>
            </w:r>
            <w:r/>
          </w:p>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□无偏离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如无偏离，仅勾选无偏离即可</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b/>
                <w:sz w:val="24"/>
                <w:highlight w:val="none"/>
              </w:rPr>
              <w:t xml:space="preserve">□有偏离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如有偏离，</w:t>
            </w:r>
            <w:r>
              <w:rPr>
                <w:rFonts w:hint="eastAsia" w:ascii="宋体" w:hAnsi="宋体" w:eastAsia="宋体" w:cs="宋体"/>
                <w:sz w:val="24"/>
                <w:highlight w:val="none"/>
              </w:rPr>
              <w:t xml:space="preserve">则应在本表中对偏离项逐一列明）</w:t>
            </w:r>
            <w:r/>
          </w:p>
        </w:tc>
      </w:tr>
      <w:tr>
        <w:trPr>
          <w:jc w:val="center"/>
          <w:trHeight w:val="1053"/>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招标文件条目号(页码)</w:t>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招标文件要求</w:t>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投标响应内容</w:t>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对招标文件中的所有商务、技术要求，除本表所列明的所有偏离外，均视作供应商已对之理解和响应。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lang w:val="en-US" w:eastAsia="zh-CN"/>
        </w:rPr>
        <w:t xml:space="preserve">9</w:t>
      </w:r>
      <w:r>
        <w:rPr>
          <w:rFonts w:hint="eastAsia" w:ascii="宋体" w:hAnsi="宋体" w:eastAsia="宋体" w:cs="宋体"/>
          <w:b/>
          <w:sz w:val="24"/>
          <w:szCs w:val="20"/>
          <w:highlight w:val="none"/>
        </w:rPr>
        <w:t xml:space="preserve">  项目实施方案等，包括但不限于如下主题：</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w:t>
      </w:r>
      <w:r>
        <w:rPr>
          <w:rFonts w:hint="eastAsia" w:ascii="宋体" w:hAnsi="宋体" w:eastAsia="宋体" w:cs="宋体"/>
          <w:sz w:val="24"/>
          <w:szCs w:val="20"/>
          <w:highlight w:val="none"/>
          <w:lang w:eastAsia="zh-CN"/>
        </w:rPr>
        <w:t xml:space="preserve">服务团队</w:t>
      </w:r>
      <w:r>
        <w:rPr>
          <w:rFonts w:hint="eastAsia" w:ascii="宋体" w:hAnsi="宋体" w:eastAsia="宋体" w:cs="宋体"/>
          <w:sz w:val="24"/>
          <w:szCs w:val="20"/>
          <w:highlight w:val="none"/>
          <w:lang w:val="en-US" w:eastAsia="zh-CN"/>
        </w:rPr>
        <w:t xml:space="preserve">方案</w:t>
      </w:r>
      <w:r>
        <w:rPr>
          <w:rFonts w:hint="eastAsia" w:ascii="宋体" w:hAnsi="宋体" w:eastAsia="宋体" w:cs="宋体"/>
          <w:sz w:val="24"/>
          <w:szCs w:val="20"/>
          <w:highlight w:val="none"/>
        </w:rPr>
        <w:t xml:space="preserve">；</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w:t>
      </w:r>
      <w:r>
        <w:rPr>
          <w:rFonts w:hint="eastAsia" w:ascii="宋体" w:hAnsi="宋体" w:eastAsia="宋体" w:cs="宋体"/>
          <w:sz w:val="24"/>
          <w:szCs w:val="20"/>
          <w:highlight w:val="none"/>
          <w:lang w:eastAsia="zh-CN"/>
        </w:rPr>
        <w:t xml:space="preserve">承保服务</w:t>
      </w:r>
      <w:r>
        <w:rPr>
          <w:rFonts w:hint="eastAsia" w:ascii="宋体" w:hAnsi="宋体" w:eastAsia="宋体" w:cs="宋体"/>
          <w:sz w:val="24"/>
          <w:szCs w:val="20"/>
          <w:highlight w:val="none"/>
          <w:lang w:val="en-US" w:eastAsia="zh-CN"/>
        </w:rPr>
        <w:t xml:space="preserve">方案</w:t>
      </w:r>
      <w:r>
        <w:rPr>
          <w:rFonts w:hint="eastAsia" w:ascii="宋体" w:hAnsi="宋体" w:eastAsia="宋体" w:cs="宋体"/>
          <w:sz w:val="24"/>
          <w:szCs w:val="20"/>
          <w:highlight w:val="none"/>
        </w:rPr>
        <w:t xml:space="preserve">；</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理赔服务</w:t>
      </w:r>
      <w:r>
        <w:rPr>
          <w:rFonts w:hint="eastAsia" w:ascii="宋体" w:hAnsi="宋体" w:eastAsia="宋体" w:cs="宋体"/>
          <w:sz w:val="24"/>
          <w:szCs w:val="20"/>
          <w:highlight w:val="none"/>
          <w:lang w:val="en-US" w:eastAsia="zh-CN"/>
        </w:rPr>
        <w:t xml:space="preserve">方案</w:t>
      </w:r>
      <w:r>
        <w:rPr>
          <w:rFonts w:hint="eastAsia" w:ascii="宋体" w:hAnsi="宋体" w:eastAsia="宋体" w:cs="宋体"/>
          <w:sz w:val="24"/>
          <w:highlight w:val="none"/>
        </w:rPr>
        <w:t xml:space="preserve">；</w:t>
      </w:r>
      <w:r/>
    </w:p>
    <w:p>
      <w:pPr>
        <w:ind w:firstLine="480"/>
        <w:spacing w:line="5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4）重大、疑难案件服务方案；</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项目管理方案</w:t>
      </w:r>
      <w:r>
        <w:rPr>
          <w:rFonts w:hint="eastAsia" w:ascii="宋体" w:hAnsi="宋体" w:eastAsia="宋体" w:cs="宋体"/>
          <w:sz w:val="24"/>
          <w:highlight w:val="none"/>
        </w:rPr>
        <w:t xml:space="preserve">；</w:t>
      </w:r>
      <w:r/>
    </w:p>
    <w:p>
      <w:pPr>
        <w:ind w:firstLine="480"/>
        <w:spacing w:line="5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6）增值方案；</w:t>
      </w:r>
      <w:r/>
    </w:p>
    <w:p>
      <w:pPr>
        <w:ind w:firstLine="480"/>
        <w:spacing w:line="560" w:lineRule="exact"/>
        <w:rPr>
          <w:rFonts w:hint="eastAsia" w:ascii="宋体" w:hAnsi="宋体" w:eastAsia="宋体" w:cs="宋体"/>
          <w:b/>
          <w:bCs/>
          <w:sz w:val="24"/>
          <w:szCs w:val="20"/>
          <w:highlight w:val="none"/>
        </w:rPr>
      </w:pPr>
      <w:r>
        <w:rPr>
          <w:rFonts w:hint="eastAsia" w:ascii="宋体" w:hAnsi="宋体" w:eastAsia="宋体" w:cs="宋体"/>
          <w:sz w:val="24"/>
          <w:szCs w:val="20"/>
          <w:highlight w:val="none"/>
          <w:lang w:val="en-US" w:eastAsia="zh-CN"/>
        </w:rPr>
        <w:t xml:space="preserve">7</w:t>
      </w:r>
      <w:r>
        <w:rPr>
          <w:rFonts w:hint="eastAsia" w:ascii="宋体" w:hAnsi="宋体" w:eastAsia="宋体" w:cs="宋体"/>
          <w:sz w:val="24"/>
          <w:highlight w:val="none"/>
          <w:lang w:eastAsia="zh-CN"/>
        </w:rPr>
        <w:t xml:space="preserve">）合同履约。</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rPr>
        <w:br w:type="page" w:clear="all"/>
      </w:r>
      <w:r>
        <w:rPr>
          <w:rFonts w:hint="eastAsia" w:ascii="宋体" w:hAnsi="宋体" w:eastAsia="宋体" w:cs="宋体"/>
          <w:b/>
          <w:sz w:val="24"/>
          <w:szCs w:val="20"/>
          <w:highlight w:val="none"/>
          <w:lang w:val="en-US" w:eastAsia="zh-CN"/>
        </w:rPr>
        <w:t xml:space="preserve">10</w:t>
      </w:r>
      <w:r>
        <w:rPr>
          <w:rFonts w:hint="eastAsia" w:ascii="宋体" w:hAnsi="宋体" w:eastAsia="宋体" w:cs="宋体"/>
          <w:b/>
          <w:sz w:val="24"/>
          <w:szCs w:val="20"/>
          <w:highlight w:val="none"/>
        </w:rPr>
        <w:t xml:space="preserve">  参加本项目人员一览表</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hint="eastAsia" w:ascii="宋体" w:hAnsi="宋体" w:eastAsia="宋体" w:cs="宋体"/>
          <w:sz w:val="22"/>
          <w:highlight w:val="none"/>
        </w:rPr>
      </w:pPr>
      <w:r>
        <w:rPr>
          <w:rFonts w:hint="eastAsia" w:ascii="宋体" w:hAnsi="宋体" w:eastAsia="宋体" w:cs="宋体"/>
          <w:sz w:val="22"/>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863"/>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责任</w:t>
            </w:r>
            <w:r/>
          </w:p>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项目经历或主要工作</w:t>
            </w:r>
            <w:r/>
          </w:p>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bl>
    <w:p>
      <w:pPr>
        <w:tabs>
          <w:tab w:val="left" w:pos="9765" w:leader="none"/>
        </w:tabs>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spacing w:line="360" w:lineRule="auto"/>
        <w:tabs>
          <w:tab w:val="left" w:pos="9765" w:leader="none"/>
        </w:tabs>
        <w:rPr>
          <w:rFonts w:hint="eastAsia" w:ascii="宋体" w:hAnsi="宋体" w:eastAsia="宋体" w:cs="宋体"/>
          <w:b/>
          <w:sz w:val="24"/>
          <w:highlight w:val="none"/>
        </w:rPr>
      </w:pPr>
      <w:r>
        <w:rPr>
          <w:rFonts w:hint="eastAsia" w:ascii="宋体" w:hAnsi="宋体" w:eastAsia="宋体" w:cs="宋体"/>
          <w:b/>
          <w:sz w:val="24"/>
          <w:highlight w:val="none"/>
          <w:lang w:val="zh-CN"/>
        </w:rPr>
        <w:t xml:space="preserve">注：参加本项目人员须是投标人正式职工。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11 </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相关业绩案例一览表</w:t>
      </w:r>
      <w:r/>
    </w:p>
    <w:p>
      <w:pPr>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86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rPr>
          <w:rFonts w:hint="eastAsia" w:ascii="宋体" w:hAnsi="宋体" w:eastAsia="宋体" w:cs="宋体"/>
          <w:b/>
          <w:sz w:val="32"/>
          <w:highlight w:val="none"/>
        </w:rPr>
      </w:pPr>
      <w:r>
        <w:rPr>
          <w:rFonts w:hint="eastAsia" w:ascii="宋体" w:hAnsi="宋体" w:eastAsia="宋体" w:cs="宋体"/>
          <w:sz w:val="22"/>
          <w:highlight w:val="none"/>
        </w:rPr>
        <w:br w:type="page" w:clear="all"/>
      </w:r>
      <w:r/>
    </w:p>
    <w:p>
      <w:pPr>
        <w:jc w:val="left"/>
        <w:spacing w:line="480" w:lineRule="auto"/>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lang w:val="en-US" w:eastAsia="zh-CN"/>
        </w:rPr>
        <w:t xml:space="preserve">12 </w:t>
      </w:r>
      <w:r>
        <w:rPr>
          <w:rFonts w:hint="eastAsia" w:ascii="宋体" w:hAnsi="宋体" w:eastAsia="宋体" w:cs="宋体"/>
          <w:b/>
          <w:bCs/>
          <w:color w:val="000000"/>
          <w:sz w:val="24"/>
          <w:szCs w:val="24"/>
          <w:highlight w:val="none"/>
        </w:rPr>
        <w:t xml:space="preserve">同意接受对本项目保险责任起期及服务管理的书面承诺（实质性格式）</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同意接受对本项目保险责任起期及服务管理的书面承诺</w:t>
      </w:r>
      <w:r/>
    </w:p>
    <w:p>
      <w:pP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常州市第三人民医院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公司</w:t>
      </w:r>
      <w:r>
        <w:rPr>
          <w:rFonts w:hint="eastAsia" w:ascii="宋体" w:hAnsi="宋体" w:eastAsia="宋体" w:cs="宋体"/>
          <w:color w:val="000000"/>
          <w:sz w:val="24"/>
          <w:szCs w:val="24"/>
          <w:highlight w:val="none"/>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我公司愿针对</w:t>
      </w:r>
      <w:r>
        <w:rPr>
          <w:rFonts w:hint="eastAsia" w:ascii="宋体" w:hAnsi="宋体" w:eastAsia="宋体" w:cs="宋体"/>
          <w:color w:val="000000"/>
          <w:sz w:val="24"/>
          <w:szCs w:val="24"/>
          <w:highlight w:val="none"/>
          <w:lang w:val="en-US" w:eastAsia="zh-CN"/>
        </w:rPr>
        <w:t xml:space="preserve">2025-2027年度</w:t>
      </w:r>
      <w:r>
        <w:rPr>
          <w:rFonts w:hint="eastAsia" w:ascii="宋体" w:hAnsi="宋体" w:eastAsia="宋体" w:cs="宋体"/>
          <w:color w:val="000000"/>
          <w:sz w:val="24"/>
          <w:szCs w:val="24"/>
          <w:highlight w:val="none"/>
          <w:lang w:val="zh-CN"/>
        </w:rPr>
        <w:t xml:space="preserve">常州市第三人民医院医疗责任险、财产险项目</w:t>
      </w:r>
      <w:r>
        <w:rPr>
          <w:rFonts w:hint="eastAsia" w:ascii="宋体" w:hAnsi="宋体" w:eastAsia="宋体" w:cs="宋体"/>
          <w:color w:val="000000"/>
          <w:sz w:val="24"/>
          <w:szCs w:val="24"/>
          <w:highlight w:val="none"/>
        </w:rPr>
        <w:t xml:space="preserve">进行投标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若本公司中标承诺如下：</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1．本保险项目所涉保险责任自202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年4月23日零时起，自上述期限起（及追溯期内）发生合同约定的保险事故均由我公司承担理赔责任。</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2．同意接受采购人或其保险经纪人对本项目保险服务进行跟踪管理和绩效评价。</w:t>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人（签字或盖章）：</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left"/>
        <w:spacing w:line="480" w:lineRule="auto"/>
        <w:rPr>
          <w:rFonts w:hint="eastAsia" w:ascii="宋体" w:hAnsi="宋体" w:eastAsia="宋体" w:cs="宋体"/>
          <w:b/>
          <w:bCs/>
          <w:color w:val="000000"/>
          <w:sz w:val="24"/>
          <w:szCs w:val="20"/>
          <w:highlight w:val="none"/>
        </w:rPr>
      </w:pPr>
      <w:r>
        <w:rPr>
          <w:rFonts w:hint="eastAsia" w:ascii="宋体" w:hAnsi="宋体" w:eastAsia="宋体" w:cs="宋体"/>
          <w:b/>
          <w:sz w:val="32"/>
          <w:highlight w:val="none"/>
          <w:lang w:val="en-US" w:eastAsia="zh-CN"/>
        </w:rPr>
        <w:t xml:space="preserve">13</w:t>
      </w:r>
      <w:r>
        <w:rPr>
          <w:rFonts w:hint="eastAsia" w:ascii="宋体" w:hAnsi="宋体" w:eastAsia="宋体" w:cs="宋体"/>
          <w:b/>
          <w:bCs/>
          <w:sz w:val="28"/>
          <w:szCs w:val="28"/>
          <w:highlight w:val="none"/>
        </w:rPr>
        <w:t xml:space="preserve">保险条款、费率报备手续说明</w:t>
      </w:r>
      <w:r>
        <w:rPr>
          <w:rFonts w:hint="eastAsia" w:ascii="宋体" w:hAnsi="宋体" w:eastAsia="宋体" w:cs="宋体"/>
          <w:b/>
          <w:bCs/>
          <w:color w:val="000000"/>
          <w:sz w:val="24"/>
          <w:szCs w:val="20"/>
          <w:highlight w:val="none"/>
        </w:rPr>
        <w:t xml:space="preserve">（实质性格式）</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保险条款、费率报备手续说明</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常州市第三人民医院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我公司投标文件中所涉（1）财产综合险。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（2）机器设备损坏险。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（3）医疗责任险。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（4）附加医疗机构场所责任保险。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（5）附加医务人员遭受伤害责任保险。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这5项保险条款及费率，</w:t>
      </w:r>
      <w:r>
        <w:rPr>
          <w:rFonts w:hint="eastAsia" w:ascii="宋体" w:hAnsi="宋体" w:eastAsia="宋体" w:cs="宋体"/>
          <w:sz w:val="24"/>
          <w:szCs w:val="24"/>
          <w:highlight w:val="none"/>
        </w:rPr>
        <w:t xml:space="preserve">在中标后30日内向国家金融监督管理总局（原中国银行保险监督管理委员会）报备。</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条款名称以各投标人向国家金融监督管理总局（原中国银行保险监督管理委员会）报批或报备的名称为准。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p>
    <w:p>
      <w:pPr>
        <w:spacing w:line="360" w:lineRule="auto"/>
        <w:rPr>
          <w:rFonts w:hint="eastAsia" w:ascii="宋体" w:hAnsi="宋体" w:eastAsia="宋体" w:cs="宋体"/>
          <w:b/>
          <w:sz w:val="32"/>
          <w:highlight w:val="none"/>
          <w:lang w:val="en-US" w:eastAsia="zh-CN"/>
        </w:rPr>
      </w:pPr>
      <w:r>
        <w:rPr>
          <w:rFonts w:hint="eastAsia" w:ascii="宋体" w:hAnsi="宋体" w:eastAsia="宋体" w:cs="宋体"/>
          <w:sz w:val="24"/>
          <w:szCs w:val="24"/>
          <w:highlight w:val="none"/>
        </w:rPr>
        <w:t xml:space="preserve">法定代表人或</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人（签字或盖章）：</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14 承诺函</w:t>
      </w:r>
      <w:r/>
    </w:p>
    <w:p>
      <w:pPr>
        <w:jc w:val="cente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承诺函</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常州市第三人民医院、</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医疗责任保险理赔依据为常州市医患纠纷人民调解委员会（调处中心）的“人民调解协议书”或人民法院的生效法律文书（包括调解书、裁、判文书）。</w:t>
      </w:r>
      <w:r>
        <w:rPr>
          <w:rFonts w:hint="eastAsia" w:ascii="宋体" w:hAnsi="宋体" w:eastAsia="宋体" w:cs="宋体"/>
          <w:color w:val="000000"/>
          <w:sz w:val="24"/>
          <w:szCs w:val="24"/>
          <w:highlight w:val="none"/>
          <w:lang w:val="en-US" w:eastAsia="zh-CN"/>
        </w:rPr>
        <w:t xml:space="preserve">我司</w:t>
      </w:r>
      <w:r>
        <w:rPr>
          <w:rFonts w:hint="eastAsia" w:ascii="宋体" w:hAnsi="宋体" w:eastAsia="宋体" w:cs="宋体"/>
          <w:color w:val="000000"/>
          <w:sz w:val="24"/>
          <w:szCs w:val="24"/>
          <w:highlight w:val="none"/>
          <w:lang w:eastAsia="zh-CN"/>
        </w:rPr>
        <w:t xml:space="preserve">充分尊重并认可常州市医患纠纷人民调解委员会（调处中心）、人民法院的调解或裁、判结论。</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特此承诺！</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投标人名称（公章）：</w:t>
      </w:r>
      <w:r/>
    </w:p>
    <w:p>
      <w:p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法定代表人或</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lang w:eastAsia="zh-CN"/>
        </w:rPr>
        <w:t xml:space="preserve">人（签字或盖章）：</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highlight w:val="none"/>
        </w:rPr>
      </w:pPr>
      <w:r>
        <w:rPr>
          <w:rFonts w:hint="eastAsia" w:ascii="宋体" w:hAnsi="宋体" w:eastAsia="宋体" w:cs="宋体"/>
          <w:b/>
          <w:bCs/>
          <w:sz w:val="24"/>
          <w:szCs w:val="20"/>
          <w:highlight w:val="none"/>
          <w:lang w:val="en-US" w:eastAsia="zh-CN"/>
        </w:rPr>
        <w:t xml:space="preserve">15</w:t>
      </w:r>
      <w:r>
        <w:rPr>
          <w:rFonts w:hint="eastAsia" w:ascii="宋体" w:hAnsi="宋体" w:eastAsia="宋体" w:cs="宋体"/>
          <w:b/>
          <w:bCs/>
          <w:sz w:val="24"/>
          <w:szCs w:val="20"/>
          <w:highlight w:val="none"/>
        </w:rPr>
        <w:t xml:space="preserve">  </w:t>
      </w:r>
      <w:r>
        <w:rPr>
          <w:rFonts w:hint="eastAsia" w:ascii="宋体" w:hAnsi="宋体" w:eastAsia="宋体" w:cs="宋体"/>
          <w:b/>
          <w:bCs/>
          <w:sz w:val="24"/>
          <w:szCs w:val="20"/>
          <w:highlight w:val="none"/>
          <w:lang w:val="en-US" w:eastAsia="zh-CN"/>
        </w:rPr>
        <w:t xml:space="preserve">招标</w:t>
      </w:r>
      <w:r>
        <w:rPr>
          <w:rFonts w:hint="eastAsia" w:ascii="宋体" w:hAnsi="宋体" w:eastAsia="宋体" w:cs="宋体"/>
          <w:b/>
          <w:bCs/>
          <w:sz w:val="24"/>
          <w:szCs w:val="20"/>
          <w:highlight w:val="none"/>
        </w:rPr>
        <w:t xml:space="preserve">文件要求提供或</w:t>
      </w:r>
      <w:r>
        <w:rPr>
          <w:rFonts w:hint="eastAsia" w:ascii="宋体" w:hAnsi="宋体" w:eastAsia="宋体" w:cs="宋体"/>
          <w:b/>
          <w:bCs/>
          <w:sz w:val="24"/>
          <w:szCs w:val="20"/>
          <w:highlight w:val="none"/>
          <w:lang w:val="en-US" w:eastAsia="zh-CN"/>
        </w:rPr>
        <w:t xml:space="preserve">投标人</w:t>
      </w:r>
      <w:r>
        <w:rPr>
          <w:rFonts w:hint="eastAsia" w:ascii="宋体" w:hAnsi="宋体" w:eastAsia="宋体" w:cs="宋体"/>
          <w:b/>
          <w:bCs/>
          <w:sz w:val="24"/>
          <w:szCs w:val="20"/>
          <w:highlight w:val="none"/>
        </w:rPr>
        <w:t xml:space="preserve">认为应附的其他材料</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*本招标文件的最终解释权归江苏常信保险经纪有限公司所有*</w:t>
      </w:r>
      <w:r/>
    </w:p>
    <w:p>
      <w:pP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xml:space="preserve">（全文完）</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Century Gothic">
    <w:panose1 w:val="020B0502020202020204"/>
  </w:font>
  <w:font w:name="Verdana">
    <w:panose1 w:val="020B0604030504040204"/>
  </w:font>
  <w:font w:name="仿宋_GB2312">
    <w:panose1 w:val="02010609060101010101"/>
  </w:font>
  <w:font w:name="华文中宋">
    <w:panose1 w:val="0201060004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right="360"/>
      <w:rPr>
        <w:rStyle w:val="1109"/>
      </w:rPr>
      <w:framePr w:wrap="around" w:vAnchor="text" w:hAnchor="margin" w:y="1"/>
    </w:pPr>
    <w:r/>
    <w:r/>
  </w:p>
  <w:p>
    <w:pPr>
      <w:pStyle w:val="108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center" w:y="1"/>
    </w:pPr>
    <w:r>
      <w:fldChar w:fldCharType="begin"/>
    </w:r>
    <w:r>
      <w:rPr>
        <w:rStyle w:val="1109"/>
      </w:rPr>
      <w:instrText xml:space="preserve">PAGE  </w:instrText>
    </w:r>
    <w:r>
      <w:fldChar w:fldCharType="end"/>
    </w:r>
    <w:r/>
  </w:p>
  <w:p>
    <w:pPr>
      <w:pStyle w:val="108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right" w:y="1"/>
    </w:pPr>
    <w:r/>
    <w:r/>
  </w:p>
  <w:p>
    <w:pPr>
      <w:pStyle w:val="108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p>
  <w:p>
    <w:pPr>
      <w:pStyle w:val="108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p>
  <w:p>
    <w:pPr>
      <w:pStyle w:val="108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13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3"/>
      <w:isLgl w:val="false"/>
      <w:suff w:val="nothing"/>
      <w:lvlText w:val="%1.%2.%3.%4.%5.%6　"/>
      <w:lvlJc w:val="left"/>
      <w:pPr>
        <w:ind w:left="-25" w:firstLine="0"/>
      </w:pPr>
      <w:rPr>
        <w:rFonts w:ascii="Times New Roman" w:hAnsi="Times New Roman" w:eastAsia="宋体"/>
        <w:b/>
        <w:i w:val="0"/>
        <w:sz w:val="28"/>
      </w:rPr>
    </w:lvl>
    <w:lvl w:ilvl="6">
      <w:start w:val="1"/>
      <w:numFmt w:val="lowerLetter"/>
      <w:pStyle w:val="119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1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lowerLetter"/>
      <w:pStyle w:val="122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decimal"/>
      <w:pStyle w:val="1245"/>
      <w:isLgl w:val="false"/>
      <w:suff w:val="tab"/>
      <w:lvlText w:val="%1"/>
      <w:lvlJc w:val="left"/>
      <w:pPr>
        <w:ind w:left="680" w:hanging="680"/>
      </w:pPr>
      <w:rPr>
        <w:rFonts w:hint="eastAsia" w:ascii="宋体" w:hAnsi="宋体" w:eastAsia="宋体"/>
      </w:rPr>
    </w:lvl>
    <w:lvl w:ilvl="1">
      <w:start w:val="1"/>
      <w:numFmt w:val="decimal"/>
      <w:pStyle w:val="1246"/>
      <w:isLgl w:val="false"/>
      <w:suff w:val="tab"/>
      <w:lvlText w:val="%1.%2"/>
      <w:lvlJc w:val="left"/>
      <w:pPr>
        <w:ind w:left="851" w:hanging="851"/>
      </w:pPr>
      <w:rPr>
        <w:rFonts w:hint="eastAsia" w:ascii="宋体" w:hAnsi="宋体" w:eastAsia="宋体"/>
        <w:color w:val="000000"/>
      </w:rPr>
    </w:lvl>
    <w:lvl w:ilvl="2">
      <w:start w:val="1"/>
      <w:numFmt w:val="decimal"/>
      <w:pStyle w:val="124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pStyle w:val="11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11"/>
  </w:num>
  <w:num w:numId="3">
    <w:abstractNumId w:val="14"/>
  </w:num>
  <w:num w:numId="4">
    <w:abstractNumId w:val="7"/>
  </w:num>
  <w:num w:numId="5">
    <w:abstractNumId w:val="0"/>
  </w:num>
  <w:num w:numId="6">
    <w:abstractNumId w:val="12"/>
  </w:num>
  <w:num w:numId="7">
    <w:abstractNumId w:val="13"/>
  </w:num>
  <w:num w:numId="8">
    <w:abstractNumId w:val="2"/>
  </w:num>
  <w:num w:numId="9">
    <w:abstractNumId w:val="6"/>
  </w:num>
  <w:num w:numId="10">
    <w:abstractNumId w:val="9"/>
  </w:num>
  <w:num w:numId="11">
    <w:abstractNumId w:val="1"/>
  </w:num>
  <w:num w:numId="12">
    <w:abstractNumId w:val="5"/>
  </w:num>
  <w:num w:numId="13">
    <w:abstractNumId w:val="10"/>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link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name w:val="Heading 1"/>
    <w:basedOn w:val="852"/>
    <w:next w:val="852"/>
    <w:link w:val="890"/>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64"/>
    <w:link w:val="891"/>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89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893"/>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894"/>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895"/>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897"/>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898"/>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Normal Indent"/>
    <w:basedOn w:val="852"/>
    <w:uiPriority w:val="0"/>
    <w:qFormat/>
    <w:pPr>
      <w:ind w:firstLine="420"/>
      <w:jc w:val="left"/>
    </w:pPr>
    <w:rPr>
      <w:rFonts w:ascii="宋体"/>
      <w:sz w:val="24"/>
    </w:rPr>
  </w:style>
  <w:style w:type="paragraph" w:styleId="865">
    <w:name w:val="toc 7"/>
    <w:basedOn w:val="852"/>
    <w:next w:val="852"/>
    <w:uiPriority w:val="39"/>
    <w:unhideWhenUsed/>
    <w:qFormat/>
    <w:pPr>
      <w:ind w:left="1701" w:right="0" w:firstLine="0"/>
      <w:spacing w:after="57"/>
    </w:pPr>
  </w:style>
  <w:style w:type="paragraph" w:styleId="866">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annotation text"/>
    <w:basedOn w:val="852"/>
    <w:uiPriority w:val="0"/>
    <w:qFormat/>
    <w:pPr>
      <w:jc w:val="left"/>
    </w:pPr>
  </w:style>
  <w:style w:type="paragraph" w:styleId="868">
    <w:name w:val="Body Text"/>
    <w:basedOn w:val="852"/>
    <w:next w:val="852"/>
    <w:uiPriority w:val="0"/>
    <w:qFormat/>
    <w:pPr>
      <w:spacing w:before="120" w:line="22" w:lineRule="atLeast"/>
      <w:tabs>
        <w:tab w:val="left" w:pos="567" w:leader="none"/>
      </w:tabs>
    </w:pPr>
    <w:rPr>
      <w:rFonts w:ascii="宋体" w:hAnsi="宋体"/>
      <w:sz w:val="24"/>
    </w:rPr>
  </w:style>
  <w:style w:type="paragraph" w:styleId="869">
    <w:name w:val="Body Text Indent"/>
    <w:basedOn w:val="852"/>
    <w:next w:val="852"/>
    <w:uiPriority w:val="0"/>
    <w:qFormat/>
    <w:pPr>
      <w:ind w:firstLine="570"/>
      <w:spacing w:line="360" w:lineRule="auto"/>
    </w:pPr>
    <w:rPr>
      <w:sz w:val="24"/>
    </w:rPr>
  </w:style>
  <w:style w:type="paragraph" w:styleId="870">
    <w:name w:val="toc 5"/>
    <w:basedOn w:val="852"/>
    <w:next w:val="852"/>
    <w:uiPriority w:val="39"/>
    <w:unhideWhenUsed/>
    <w:qFormat/>
    <w:pPr>
      <w:ind w:left="1134" w:right="0" w:firstLine="0"/>
      <w:spacing w:after="57"/>
    </w:pPr>
  </w:style>
  <w:style w:type="paragraph" w:styleId="871">
    <w:name w:val="toc 3"/>
    <w:basedOn w:val="852"/>
    <w:next w:val="852"/>
    <w:uiPriority w:val="39"/>
    <w:unhideWhenUsed/>
    <w:qFormat/>
    <w:pPr>
      <w:ind w:left="567" w:right="0" w:firstLine="0"/>
      <w:spacing w:after="57"/>
    </w:pPr>
  </w:style>
  <w:style w:type="paragraph" w:styleId="872">
    <w:name w:val="toc 8"/>
    <w:basedOn w:val="852"/>
    <w:next w:val="852"/>
    <w:uiPriority w:val="39"/>
    <w:unhideWhenUsed/>
    <w:qFormat/>
    <w:pPr>
      <w:ind w:left="1984" w:right="0" w:firstLine="0"/>
      <w:spacing w:after="57"/>
    </w:pPr>
  </w:style>
  <w:style w:type="paragraph" w:styleId="873">
    <w:name w:val="endnote text"/>
    <w:basedOn w:val="852"/>
    <w:link w:val="1036"/>
    <w:uiPriority w:val="99"/>
    <w:semiHidden/>
    <w:unhideWhenUsed/>
    <w:qFormat/>
    <w:pPr>
      <w:spacing w:after="0" w:line="240" w:lineRule="auto"/>
    </w:pPr>
    <w:rPr>
      <w:sz w:val="20"/>
    </w:rPr>
  </w:style>
  <w:style w:type="paragraph" w:styleId="874">
    <w:name w:val="Footer"/>
    <w:basedOn w:val="852"/>
    <w:link w:val="909"/>
    <w:uiPriority w:val="99"/>
    <w:unhideWhenUsed/>
    <w:qFormat/>
    <w:pPr>
      <w:spacing w:after="0" w:line="240" w:lineRule="auto"/>
      <w:tabs>
        <w:tab w:val="center" w:pos="7143" w:leader="none"/>
        <w:tab w:val="right" w:pos="14287" w:leader="none"/>
      </w:tabs>
    </w:pPr>
  </w:style>
  <w:style w:type="paragraph" w:styleId="875">
    <w:name w:val="Header"/>
    <w:basedOn w:val="852"/>
    <w:link w:val="907"/>
    <w:uiPriority w:val="99"/>
    <w:unhideWhenUsed/>
    <w:qFormat/>
    <w:pPr>
      <w:spacing w:after="0" w:line="240" w:lineRule="auto"/>
      <w:tabs>
        <w:tab w:val="center" w:pos="7143" w:leader="none"/>
        <w:tab w:val="right" w:pos="14287" w:leader="none"/>
      </w:tabs>
    </w:pPr>
  </w:style>
  <w:style w:type="paragraph" w:styleId="876">
    <w:name w:val="toc 1"/>
    <w:basedOn w:val="852"/>
    <w:next w:val="852"/>
    <w:uiPriority w:val="39"/>
    <w:unhideWhenUsed/>
    <w:qFormat/>
    <w:pPr>
      <w:ind w:left="0" w:right="0" w:firstLine="0"/>
      <w:spacing w:after="57"/>
    </w:pPr>
  </w:style>
  <w:style w:type="paragraph" w:styleId="877">
    <w:name w:val="toc 4"/>
    <w:basedOn w:val="852"/>
    <w:next w:val="852"/>
    <w:uiPriority w:val="39"/>
    <w:unhideWhenUsed/>
    <w:qFormat/>
    <w:pPr>
      <w:ind w:left="850" w:right="0" w:firstLine="0"/>
      <w:spacing w:after="57"/>
    </w:pPr>
  </w:style>
  <w:style w:type="paragraph" w:styleId="878">
    <w:name w:val="Subtitle"/>
    <w:basedOn w:val="852"/>
    <w:next w:val="852"/>
    <w:link w:val="902"/>
    <w:uiPriority w:val="11"/>
    <w:qFormat/>
    <w:pPr>
      <w:spacing w:before="200" w:after="200"/>
    </w:pPr>
    <w:rPr>
      <w:sz w:val="24"/>
      <w:szCs w:val="24"/>
    </w:rPr>
  </w:style>
  <w:style w:type="paragraph" w:styleId="879">
    <w:name w:val="footnote text"/>
    <w:basedOn w:val="852"/>
    <w:link w:val="1035"/>
    <w:uiPriority w:val="99"/>
    <w:semiHidden/>
    <w:unhideWhenUsed/>
    <w:qFormat/>
    <w:pPr>
      <w:spacing w:after="40" w:line="240" w:lineRule="auto"/>
    </w:pPr>
    <w:rPr>
      <w:sz w:val="18"/>
    </w:rPr>
  </w:style>
  <w:style w:type="paragraph" w:styleId="880">
    <w:name w:val="toc 6"/>
    <w:basedOn w:val="852"/>
    <w:next w:val="852"/>
    <w:uiPriority w:val="39"/>
    <w:unhideWhenUsed/>
    <w:qFormat/>
    <w:pPr>
      <w:ind w:left="1417" w:right="0" w:firstLine="0"/>
      <w:spacing w:after="57"/>
    </w:pPr>
  </w:style>
  <w:style w:type="paragraph" w:styleId="881">
    <w:name w:val="table of figures"/>
    <w:basedOn w:val="852"/>
    <w:next w:val="852"/>
    <w:uiPriority w:val="99"/>
    <w:unhideWhenUsed/>
    <w:qFormat/>
    <w:pPr>
      <w:spacing w:after="0" w:afterAutospacing="0"/>
    </w:pPr>
  </w:style>
  <w:style w:type="paragraph" w:styleId="882">
    <w:name w:val="toc 2"/>
    <w:basedOn w:val="852"/>
    <w:next w:val="852"/>
    <w:uiPriority w:val="39"/>
    <w:unhideWhenUsed/>
    <w:qFormat/>
    <w:pPr>
      <w:ind w:left="283" w:right="0" w:firstLine="0"/>
      <w:spacing w:after="57"/>
    </w:pPr>
  </w:style>
  <w:style w:type="paragraph" w:styleId="883">
    <w:name w:val="toc 9"/>
    <w:basedOn w:val="852"/>
    <w:next w:val="852"/>
    <w:uiPriority w:val="39"/>
    <w:unhideWhenUsed/>
    <w:qFormat/>
    <w:pPr>
      <w:ind w:left="2268" w:right="0" w:firstLine="0"/>
      <w:spacing w:after="57"/>
    </w:pPr>
  </w:style>
  <w:style w:type="paragraph" w:styleId="884">
    <w:name w:val="Title"/>
    <w:basedOn w:val="852"/>
    <w:next w:val="852"/>
    <w:link w:val="901"/>
    <w:uiPriority w:val="10"/>
    <w:qFormat/>
    <w:pPr>
      <w:contextualSpacing/>
      <w:spacing w:before="300" w:after="200"/>
    </w:pPr>
    <w:rPr>
      <w:sz w:val="48"/>
      <w:szCs w:val="48"/>
    </w:rPr>
  </w:style>
  <w:style w:type="paragraph" w:styleId="885">
    <w:name w:val="Body Text First Indent 2"/>
    <w:basedOn w:val="869"/>
    <w:next w:val="852"/>
    <w:uiPriority w:val="0"/>
    <w:qFormat/>
    <w:pPr>
      <w:ind w:left="420" w:firstLine="420"/>
      <w:spacing w:after="120" w:line="480" w:lineRule="exact"/>
    </w:pPr>
    <w:rPr>
      <w:szCs w:val="20"/>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character" w:styleId="890" w:customStyle="1">
    <w:name w:val="Heading 1 Char"/>
    <w:link w:val="853"/>
    <w:uiPriority w:val="9"/>
    <w:qFormat/>
    <w:rPr>
      <w:rFonts w:ascii="Arial" w:hAnsi="Arial" w:eastAsia="Arial" w:cs="Arial"/>
      <w:sz w:val="40"/>
      <w:szCs w:val="40"/>
    </w:rPr>
  </w:style>
  <w:style w:type="character" w:styleId="891" w:customStyle="1">
    <w:name w:val="Heading 2 Char"/>
    <w:link w:val="854"/>
    <w:uiPriority w:val="9"/>
    <w:qFormat/>
    <w:rPr>
      <w:rFonts w:ascii="Arial" w:hAnsi="Arial" w:eastAsia="Arial" w:cs="Arial"/>
      <w:sz w:val="34"/>
    </w:rPr>
  </w:style>
  <w:style w:type="character" w:styleId="892" w:customStyle="1">
    <w:name w:val="Heading 3 Char"/>
    <w:link w:val="855"/>
    <w:uiPriority w:val="9"/>
    <w:qFormat/>
    <w:rPr>
      <w:rFonts w:ascii="Arial" w:hAnsi="Arial" w:eastAsia="Arial" w:cs="Arial"/>
      <w:sz w:val="30"/>
      <w:szCs w:val="30"/>
    </w:rPr>
  </w:style>
  <w:style w:type="character" w:styleId="893" w:customStyle="1">
    <w:name w:val="Heading 4 Char"/>
    <w:link w:val="856"/>
    <w:uiPriority w:val="9"/>
    <w:qFormat/>
    <w:rPr>
      <w:rFonts w:ascii="Arial" w:hAnsi="Arial" w:eastAsia="Arial" w:cs="Arial"/>
      <w:b/>
      <w:bCs/>
      <w:sz w:val="26"/>
      <w:szCs w:val="26"/>
    </w:rPr>
  </w:style>
  <w:style w:type="character" w:styleId="894" w:customStyle="1">
    <w:name w:val="Heading 5 Char"/>
    <w:link w:val="857"/>
    <w:uiPriority w:val="9"/>
    <w:qFormat/>
    <w:rPr>
      <w:rFonts w:ascii="Arial" w:hAnsi="Arial" w:eastAsia="Arial" w:cs="Arial"/>
      <w:b/>
      <w:bCs/>
      <w:sz w:val="24"/>
      <w:szCs w:val="24"/>
    </w:rPr>
  </w:style>
  <w:style w:type="character" w:styleId="895" w:customStyle="1">
    <w:name w:val="Heading 6 Char"/>
    <w:link w:val="858"/>
    <w:uiPriority w:val="9"/>
    <w:qFormat/>
    <w:rPr>
      <w:rFonts w:ascii="Arial" w:hAnsi="Arial" w:eastAsia="Arial" w:cs="Arial"/>
      <w:b/>
      <w:bCs/>
      <w:sz w:val="22"/>
      <w:szCs w:val="22"/>
    </w:rPr>
  </w:style>
  <w:style w:type="character" w:styleId="896" w:customStyle="1">
    <w:name w:val="Heading 7 Char"/>
    <w:link w:val="859"/>
    <w:uiPriority w:val="9"/>
    <w:qFormat/>
    <w:rPr>
      <w:rFonts w:ascii="Arial" w:hAnsi="Arial" w:eastAsia="Arial" w:cs="Arial"/>
      <w:b/>
      <w:bCs/>
      <w:i/>
      <w:iCs/>
      <w:sz w:val="22"/>
      <w:szCs w:val="22"/>
    </w:rPr>
  </w:style>
  <w:style w:type="character" w:styleId="897" w:customStyle="1">
    <w:name w:val="Heading 8 Char"/>
    <w:link w:val="860"/>
    <w:uiPriority w:val="9"/>
    <w:qFormat/>
    <w:rPr>
      <w:rFonts w:ascii="Arial" w:hAnsi="Arial" w:eastAsia="Arial" w:cs="Arial"/>
      <w:i/>
      <w:iCs/>
      <w:sz w:val="22"/>
      <w:szCs w:val="22"/>
    </w:rPr>
  </w:style>
  <w:style w:type="character" w:styleId="898" w:customStyle="1">
    <w:name w:val="Heading 9 Char"/>
    <w:link w:val="861"/>
    <w:uiPriority w:val="9"/>
    <w:qFormat/>
    <w:rPr>
      <w:rFonts w:ascii="Arial" w:hAnsi="Arial" w:eastAsia="Arial" w:cs="Arial"/>
      <w:i/>
      <w:iCs/>
      <w:sz w:val="21"/>
      <w:szCs w:val="21"/>
    </w:rPr>
  </w:style>
  <w:style w:type="paragraph" w:styleId="899">
    <w:name w:val="List Paragraph"/>
    <w:basedOn w:val="852"/>
    <w:uiPriority w:val="34"/>
    <w:qFormat/>
    <w:pPr>
      <w:contextualSpacing/>
      <w:ind w:left="720"/>
    </w:pPr>
  </w:style>
  <w:style w:type="paragraph" w:styleId="900">
    <w:name w:val="No Spacing"/>
    <w:uiPriority w:val="1"/>
    <w:qFormat/>
    <w:pPr>
      <w:spacing w:before="0" w:after="0" w:line="240" w:lineRule="auto"/>
    </w:pPr>
    <w:rPr>
      <w:rFonts w:hint="default" w:ascii="Times New Roman" w:hAnsi="Times New Roman" w:eastAsia="宋体" w:cs="Times New Roman"/>
    </w:rPr>
  </w:style>
  <w:style w:type="character" w:styleId="901" w:customStyle="1">
    <w:name w:val="Title Char"/>
    <w:link w:val="884"/>
    <w:uiPriority w:val="10"/>
    <w:qFormat/>
    <w:rPr>
      <w:sz w:val="48"/>
      <w:szCs w:val="48"/>
    </w:rPr>
  </w:style>
  <w:style w:type="character" w:styleId="902" w:customStyle="1">
    <w:name w:val="Subtitle Char"/>
    <w:link w:val="878"/>
    <w:uiPriority w:val="11"/>
    <w:qFormat/>
    <w:rPr>
      <w:sz w:val="24"/>
      <w:szCs w:val="24"/>
    </w:rPr>
  </w:style>
  <w:style w:type="paragraph" w:styleId="903">
    <w:name w:val="Quote"/>
    <w:basedOn w:val="852"/>
    <w:next w:val="852"/>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52"/>
    <w:next w:val="852"/>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Header Char"/>
    <w:link w:val="875"/>
    <w:uiPriority w:val="99"/>
    <w:qFormat/>
  </w:style>
  <w:style w:type="character" w:styleId="908" w:customStyle="1">
    <w:name w:val="Footer Char"/>
    <w:link w:val="874"/>
    <w:uiPriority w:val="99"/>
    <w:qFormat/>
  </w:style>
  <w:style w:type="character" w:styleId="909" w:customStyle="1">
    <w:name w:val="Caption Char"/>
    <w:link w:val="874"/>
    <w:uiPriority w:val="99"/>
    <w:qFormat/>
  </w:style>
  <w:style w:type="table" w:styleId="9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Footnote Text Char"/>
    <w:link w:val="879"/>
    <w:uiPriority w:val="99"/>
    <w:qFormat/>
    <w:rPr>
      <w:sz w:val="18"/>
    </w:rPr>
  </w:style>
  <w:style w:type="character" w:styleId="1036" w:customStyle="1">
    <w:name w:val="Endnote Text Char"/>
    <w:link w:val="873"/>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标题 11"/>
    <w:basedOn w:val="852"/>
    <w:next w:val="852"/>
    <w:link w:val="1050"/>
    <w:uiPriority w:val="0"/>
    <w:qFormat/>
    <w:pPr>
      <w:jc w:val="center"/>
      <w:keepLines/>
      <w:keepNext/>
      <w:spacing w:before="240" w:after="120" w:line="300" w:lineRule="auto"/>
      <w:outlineLvl w:val="0"/>
    </w:pPr>
    <w:rPr>
      <w:rFonts w:ascii="宋体"/>
      <w:b/>
      <w:sz w:val="32"/>
      <w:szCs w:val="20"/>
    </w:rPr>
  </w:style>
  <w:style w:type="paragraph" w:styleId="1039" w:customStyle="1">
    <w:name w:val="标题 21"/>
    <w:basedOn w:val="852"/>
    <w:next w:val="1040"/>
    <w:link w:val="1051"/>
    <w:uiPriority w:val="0"/>
    <w:qFormat/>
    <w:pPr>
      <w:jc w:val="center"/>
      <w:keepLines/>
      <w:keepNext/>
      <w:spacing w:before="120" w:line="300" w:lineRule="auto"/>
      <w:outlineLvl w:val="1"/>
    </w:pPr>
    <w:rPr>
      <w:rFonts w:ascii="Arial" w:hAnsi="Arial" w:eastAsia="黑体"/>
      <w:b/>
      <w:sz w:val="30"/>
      <w:szCs w:val="20"/>
    </w:rPr>
  </w:style>
  <w:style w:type="paragraph" w:styleId="1040" w:customStyle="1">
    <w:name w:val="正文缩进11"/>
    <w:basedOn w:val="852"/>
    <w:link w:val="1052"/>
    <w:uiPriority w:val="99"/>
    <w:qFormat/>
    <w:pPr>
      <w:ind w:firstLine="420"/>
      <w:jc w:val="left"/>
    </w:pPr>
    <w:rPr>
      <w:rFonts w:ascii="宋体"/>
      <w:sz w:val="24"/>
    </w:rPr>
  </w:style>
  <w:style w:type="paragraph" w:styleId="1041" w:customStyle="1">
    <w:name w:val="标题 31"/>
    <w:basedOn w:val="852"/>
    <w:next w:val="1040"/>
    <w:link w:val="1053"/>
    <w:uiPriority w:val="0"/>
    <w:qFormat/>
    <w:pPr>
      <w:jc w:val="left"/>
      <w:keepLines/>
      <w:keepNext/>
      <w:spacing w:before="360" w:after="120"/>
      <w:outlineLvl w:val="2"/>
    </w:pPr>
    <w:rPr>
      <w:rFonts w:ascii="宋体"/>
      <w:b/>
      <w:sz w:val="24"/>
      <w:szCs w:val="20"/>
      <w:u w:val="single"/>
    </w:rPr>
  </w:style>
  <w:style w:type="paragraph" w:styleId="1042" w:customStyle="1">
    <w:name w:val="标题 41"/>
    <w:basedOn w:val="852"/>
    <w:next w:val="852"/>
    <w:link w:val="1054"/>
    <w:uiPriority w:val="0"/>
    <w:qFormat/>
    <w:pPr>
      <w:keepLines/>
      <w:keepNext/>
      <w:spacing w:before="280" w:after="290" w:line="376" w:lineRule="atLeast"/>
      <w:outlineLvl w:val="3"/>
    </w:pPr>
    <w:rPr>
      <w:rFonts w:ascii="Arial" w:hAnsi="Arial" w:eastAsia="黑体"/>
      <w:b/>
      <w:sz w:val="28"/>
      <w:szCs w:val="20"/>
    </w:rPr>
  </w:style>
  <w:style w:type="paragraph" w:styleId="1043" w:customStyle="1">
    <w:name w:val="标题 51"/>
    <w:basedOn w:val="852"/>
    <w:next w:val="852"/>
    <w:link w:val="1055"/>
    <w:uiPriority w:val="0"/>
    <w:qFormat/>
    <w:pPr>
      <w:keepLines/>
      <w:keepNext/>
      <w:spacing w:before="280" w:after="290" w:line="376" w:lineRule="atLeast"/>
      <w:outlineLvl w:val="4"/>
    </w:pPr>
    <w:rPr>
      <w:b/>
      <w:sz w:val="28"/>
      <w:szCs w:val="20"/>
    </w:rPr>
  </w:style>
  <w:style w:type="paragraph" w:styleId="1044" w:customStyle="1">
    <w:name w:val="标题 61"/>
    <w:basedOn w:val="852"/>
    <w:next w:val="852"/>
    <w:link w:val="1056"/>
    <w:uiPriority w:val="0"/>
    <w:qFormat/>
    <w:pPr>
      <w:keepLines/>
      <w:keepNext/>
      <w:spacing w:before="240" w:after="64" w:line="320" w:lineRule="atLeast"/>
      <w:outlineLvl w:val="5"/>
    </w:pPr>
    <w:rPr>
      <w:rFonts w:ascii="Arial" w:hAnsi="Arial" w:eastAsia="黑体"/>
      <w:b/>
      <w:sz w:val="24"/>
      <w:szCs w:val="20"/>
    </w:rPr>
  </w:style>
  <w:style w:type="paragraph" w:styleId="1045" w:customStyle="1">
    <w:name w:val="标题 71"/>
    <w:basedOn w:val="852"/>
    <w:next w:val="852"/>
    <w:link w:val="1057"/>
    <w:uiPriority w:val="0"/>
    <w:qFormat/>
    <w:pPr>
      <w:keepLines/>
      <w:keepNext/>
      <w:spacing w:before="240" w:after="64" w:line="320" w:lineRule="atLeast"/>
      <w:outlineLvl w:val="6"/>
    </w:pPr>
    <w:rPr>
      <w:b/>
      <w:sz w:val="24"/>
      <w:szCs w:val="20"/>
    </w:rPr>
  </w:style>
  <w:style w:type="paragraph" w:styleId="1046" w:customStyle="1">
    <w:name w:val="标题 81"/>
    <w:basedOn w:val="852"/>
    <w:next w:val="852"/>
    <w:link w:val="1058"/>
    <w:uiPriority w:val="0"/>
    <w:qFormat/>
    <w:pPr>
      <w:keepLines/>
      <w:keepNext/>
      <w:spacing w:before="240" w:after="64" w:line="320" w:lineRule="atLeast"/>
      <w:outlineLvl w:val="7"/>
    </w:pPr>
    <w:rPr>
      <w:rFonts w:ascii="Arial" w:hAnsi="Arial" w:eastAsia="黑体"/>
      <w:sz w:val="24"/>
      <w:szCs w:val="20"/>
    </w:rPr>
  </w:style>
  <w:style w:type="paragraph" w:styleId="1047" w:customStyle="1">
    <w:name w:val="标题 91"/>
    <w:basedOn w:val="852"/>
    <w:next w:val="852"/>
    <w:link w:val="1059"/>
    <w:uiPriority w:val="0"/>
    <w:qFormat/>
    <w:pPr>
      <w:keepLines/>
      <w:keepNext/>
      <w:spacing w:before="240" w:after="64" w:line="320" w:lineRule="atLeast"/>
      <w:outlineLvl w:val="8"/>
    </w:pPr>
    <w:rPr>
      <w:rFonts w:ascii="Arial" w:hAnsi="Arial" w:eastAsia="黑体"/>
      <w:szCs w:val="20"/>
    </w:rPr>
  </w:style>
  <w:style w:type="character" w:styleId="1048" w:customStyle="1">
    <w:name w:val="默认段落字体1"/>
    <w:link w:val="852"/>
    <w:uiPriority w:val="1"/>
    <w:unhideWhenUsed/>
    <w:qFormat/>
  </w:style>
  <w:style w:type="table" w:styleId="1049" w:customStyle="1">
    <w:name w:val="普通表格1"/>
    <w:uiPriority w:val="99"/>
    <w:unhideWhenUsed/>
    <w:qFormat/>
    <w:tblPr/>
  </w:style>
  <w:style w:type="character" w:styleId="1050" w:customStyle="1">
    <w:name w:val="标题 1 Char"/>
    <w:link w:val="1038"/>
    <w:uiPriority w:val="0"/>
    <w:qFormat/>
    <w:rPr>
      <w:rFonts w:ascii="宋体"/>
      <w:b/>
      <w:sz w:val="32"/>
    </w:rPr>
  </w:style>
  <w:style w:type="character" w:styleId="1051" w:customStyle="1">
    <w:name w:val="标题 2 Char1"/>
    <w:link w:val="1039"/>
    <w:uiPriority w:val="0"/>
    <w:qFormat/>
    <w:rPr>
      <w:rFonts w:ascii="Arial" w:hAnsi="Arial" w:eastAsia="黑体"/>
      <w:b/>
      <w:sz w:val="30"/>
      <w:lang w:val="en-US" w:eastAsia="zh-CN" w:bidi="ar-SA"/>
    </w:rPr>
  </w:style>
  <w:style w:type="character" w:styleId="1052" w:customStyle="1">
    <w:name w:val="正文缩进 Char1"/>
    <w:link w:val="1040"/>
    <w:uiPriority w:val="0"/>
    <w:qFormat/>
    <w:rPr>
      <w:rFonts w:ascii="宋体" w:eastAsia="宋体"/>
      <w:sz w:val="24"/>
      <w:szCs w:val="24"/>
      <w:lang w:val="en-US" w:eastAsia="zh-CN" w:bidi="ar-SA"/>
    </w:rPr>
  </w:style>
  <w:style w:type="character" w:styleId="1053" w:customStyle="1">
    <w:name w:val="标题 3 Char1"/>
    <w:link w:val="1041"/>
    <w:uiPriority w:val="0"/>
    <w:qFormat/>
    <w:rPr>
      <w:rFonts w:ascii="宋体" w:eastAsia="宋体"/>
      <w:b/>
      <w:sz w:val="24"/>
      <w:u w:val="single"/>
      <w:lang w:val="en-US" w:eastAsia="zh-CN" w:bidi="ar-SA"/>
    </w:rPr>
  </w:style>
  <w:style w:type="character" w:styleId="1054" w:customStyle="1">
    <w:name w:val="标题 4 Char"/>
    <w:link w:val="1042"/>
    <w:uiPriority w:val="0"/>
    <w:qFormat/>
    <w:rPr>
      <w:rFonts w:ascii="Arial" w:hAnsi="Arial" w:eastAsia="黑体"/>
      <w:b/>
      <w:sz w:val="28"/>
    </w:rPr>
  </w:style>
  <w:style w:type="character" w:styleId="1055" w:customStyle="1">
    <w:name w:val="标题 5 Char"/>
    <w:link w:val="1043"/>
    <w:uiPriority w:val="0"/>
    <w:qFormat/>
    <w:rPr>
      <w:b/>
      <w:sz w:val="28"/>
    </w:rPr>
  </w:style>
  <w:style w:type="character" w:styleId="1056" w:customStyle="1">
    <w:name w:val="标题 6 Char"/>
    <w:link w:val="1044"/>
    <w:uiPriority w:val="0"/>
    <w:qFormat/>
    <w:rPr>
      <w:rFonts w:ascii="Arial" w:hAnsi="Arial" w:eastAsia="黑体"/>
      <w:b/>
      <w:sz w:val="24"/>
    </w:rPr>
  </w:style>
  <w:style w:type="character" w:styleId="1057" w:customStyle="1">
    <w:name w:val="标题 7 Char"/>
    <w:link w:val="1045"/>
    <w:uiPriority w:val="0"/>
    <w:qFormat/>
    <w:rPr>
      <w:b/>
      <w:sz w:val="24"/>
    </w:rPr>
  </w:style>
  <w:style w:type="character" w:styleId="1058" w:customStyle="1">
    <w:name w:val="标题 8 Char"/>
    <w:link w:val="1046"/>
    <w:uiPriority w:val="0"/>
    <w:qFormat/>
    <w:rPr>
      <w:rFonts w:ascii="Arial" w:hAnsi="Arial" w:eastAsia="黑体"/>
      <w:sz w:val="24"/>
    </w:rPr>
  </w:style>
  <w:style w:type="character" w:styleId="1059" w:customStyle="1">
    <w:name w:val="标题 9 Char"/>
    <w:link w:val="1047"/>
    <w:uiPriority w:val="0"/>
    <w:qFormat/>
    <w:rPr>
      <w:rFonts w:ascii="Arial" w:hAnsi="Arial" w:eastAsia="黑体"/>
      <w:sz w:val="21"/>
    </w:rPr>
  </w:style>
  <w:style w:type="paragraph" w:styleId="1060" w:customStyle="1">
    <w:name w:val="目录 71"/>
    <w:basedOn w:val="852"/>
    <w:next w:val="852"/>
    <w:uiPriority w:val="0"/>
    <w:qFormat/>
    <w:pPr>
      <w:ind w:left="2520"/>
    </w:pPr>
  </w:style>
  <w:style w:type="paragraph" w:styleId="1061" w:customStyle="1">
    <w:name w:val="题注1"/>
    <w:basedOn w:val="852"/>
    <w:next w:val="852"/>
    <w:uiPriority w:val="0"/>
    <w:qFormat/>
    <w:pPr>
      <w:spacing w:line="480" w:lineRule="auto"/>
    </w:pPr>
    <w:rPr>
      <w:rFonts w:ascii="华文中宋" w:hAnsi="华文中宋" w:eastAsia="华文中宋"/>
      <w:sz w:val="36"/>
      <w:szCs w:val="20"/>
    </w:rPr>
  </w:style>
  <w:style w:type="paragraph" w:styleId="1062" w:customStyle="1">
    <w:name w:val="文档结构图1"/>
    <w:basedOn w:val="852"/>
    <w:link w:val="1063"/>
    <w:uiPriority w:val="0"/>
    <w:qFormat/>
    <w:pPr>
      <w:shd w:val="clear" w:color="auto" w:fill="000080"/>
    </w:pPr>
  </w:style>
  <w:style w:type="character" w:styleId="1063" w:customStyle="1">
    <w:name w:val="文档结构图 Char"/>
    <w:link w:val="1062"/>
    <w:uiPriority w:val="0"/>
    <w:qFormat/>
    <w:rPr>
      <w:sz w:val="21"/>
      <w:szCs w:val="24"/>
      <w:shd w:val="clear" w:color="auto" w:fill="000080"/>
    </w:rPr>
  </w:style>
  <w:style w:type="paragraph" w:styleId="1064" w:customStyle="1">
    <w:name w:val="批注文字1"/>
    <w:basedOn w:val="852"/>
    <w:link w:val="1065"/>
    <w:uiPriority w:val="99"/>
    <w:qFormat/>
    <w:pPr>
      <w:jc w:val="left"/>
    </w:pPr>
  </w:style>
  <w:style w:type="character" w:styleId="1065" w:customStyle="1">
    <w:name w:val="批注文字 Char1"/>
    <w:link w:val="1064"/>
    <w:uiPriority w:val="99"/>
    <w:qFormat/>
    <w:rPr>
      <w:sz w:val="21"/>
      <w:szCs w:val="24"/>
    </w:rPr>
  </w:style>
  <w:style w:type="paragraph" w:styleId="1066" w:customStyle="1">
    <w:name w:val="正文文本 31"/>
    <w:basedOn w:val="852"/>
    <w:link w:val="1067"/>
    <w:uiPriority w:val="0"/>
    <w:qFormat/>
    <w:pPr>
      <w:spacing w:after="120"/>
    </w:pPr>
    <w:rPr>
      <w:sz w:val="16"/>
      <w:szCs w:val="16"/>
    </w:rPr>
  </w:style>
  <w:style w:type="character" w:styleId="1067" w:customStyle="1">
    <w:name w:val="正文文本 3 Char"/>
    <w:link w:val="1066"/>
    <w:uiPriority w:val="0"/>
    <w:qFormat/>
    <w:rPr>
      <w:sz w:val="16"/>
      <w:szCs w:val="16"/>
    </w:rPr>
  </w:style>
  <w:style w:type="paragraph" w:styleId="1068" w:customStyle="1">
    <w:name w:val="正文文本1"/>
    <w:basedOn w:val="852"/>
    <w:link w:val="1069"/>
    <w:uiPriority w:val="0"/>
    <w:qFormat/>
    <w:pPr>
      <w:spacing w:before="120" w:line="22" w:lineRule="atLeast"/>
      <w:tabs>
        <w:tab w:val="left" w:pos="567" w:leader="none"/>
      </w:tabs>
    </w:pPr>
    <w:rPr>
      <w:rFonts w:ascii="宋体" w:hAnsi="宋体"/>
      <w:sz w:val="24"/>
    </w:rPr>
  </w:style>
  <w:style w:type="character" w:styleId="1069" w:customStyle="1">
    <w:name w:val="正文文本 Char"/>
    <w:link w:val="1068"/>
    <w:uiPriority w:val="0"/>
    <w:qFormat/>
    <w:rPr>
      <w:rFonts w:ascii="宋体" w:hAnsi="宋体"/>
      <w:sz w:val="24"/>
      <w:szCs w:val="24"/>
    </w:rPr>
  </w:style>
  <w:style w:type="paragraph" w:styleId="1070" w:customStyle="1">
    <w:name w:val="正文文本缩进11"/>
    <w:basedOn w:val="852"/>
    <w:link w:val="1071"/>
    <w:uiPriority w:val="0"/>
    <w:qFormat/>
    <w:pPr>
      <w:ind w:firstLine="570"/>
      <w:spacing w:line="360" w:lineRule="auto"/>
    </w:pPr>
    <w:rPr>
      <w:sz w:val="24"/>
    </w:rPr>
  </w:style>
  <w:style w:type="character" w:styleId="1071" w:customStyle="1">
    <w:name w:val="正文文本缩进 Char2"/>
    <w:link w:val="1070"/>
    <w:uiPriority w:val="0"/>
    <w:qFormat/>
    <w:rPr>
      <w:rFonts w:eastAsia="宋体"/>
      <w:sz w:val="24"/>
      <w:szCs w:val="24"/>
      <w:lang w:val="en-US" w:eastAsia="zh-CN" w:bidi="ar-SA"/>
    </w:rPr>
  </w:style>
  <w:style w:type="paragraph" w:styleId="1072" w:customStyle="1">
    <w:name w:val="列表 21"/>
    <w:basedOn w:val="852"/>
    <w:uiPriority w:val="0"/>
    <w:qFormat/>
    <w:pPr>
      <w:ind w:left="100" w:hanging="200"/>
    </w:pPr>
  </w:style>
  <w:style w:type="paragraph" w:styleId="1073" w:customStyle="1">
    <w:name w:val="文本块1"/>
    <w:basedOn w:val="852"/>
    <w:uiPriority w:val="0"/>
    <w:qFormat/>
    <w:pPr>
      <w:ind w:left="480" w:right="-341" w:firstLine="513"/>
      <w:widowControl/>
    </w:pPr>
    <w:rPr>
      <w:sz w:val="24"/>
      <w:szCs w:val="20"/>
    </w:rPr>
  </w:style>
  <w:style w:type="paragraph" w:styleId="1074" w:customStyle="1">
    <w:name w:val="目录 51"/>
    <w:basedOn w:val="852"/>
    <w:next w:val="852"/>
    <w:uiPriority w:val="0"/>
    <w:qFormat/>
    <w:pPr>
      <w:ind w:left="1680"/>
    </w:pPr>
  </w:style>
  <w:style w:type="paragraph" w:styleId="1075" w:customStyle="1">
    <w:name w:val="目录 31"/>
    <w:basedOn w:val="852"/>
    <w:next w:val="852"/>
    <w:uiPriority w:val="39"/>
    <w:qFormat/>
    <w:pPr>
      <w:ind w:left="840"/>
    </w:pPr>
  </w:style>
  <w:style w:type="paragraph" w:styleId="1076" w:customStyle="1">
    <w:name w:val="纯文本1"/>
    <w:basedOn w:val="852"/>
    <w:next w:val="1077"/>
    <w:link w:val="1078"/>
    <w:uiPriority w:val="99"/>
    <w:qFormat/>
    <w:rPr>
      <w:rFonts w:hint="eastAsia" w:ascii="宋体" w:hAnsi="Courier New"/>
      <w:szCs w:val="20"/>
    </w:rPr>
  </w:style>
  <w:style w:type="paragraph" w:styleId="1077" w:customStyle="1">
    <w:name w:val="目录 41"/>
    <w:basedOn w:val="852"/>
    <w:next w:val="852"/>
    <w:uiPriority w:val="0"/>
    <w:qFormat/>
    <w:pPr>
      <w:ind w:left="1260"/>
    </w:pPr>
  </w:style>
  <w:style w:type="character" w:styleId="1078" w:customStyle="1">
    <w:name w:val="纯文本 Char"/>
    <w:link w:val="1076"/>
    <w:uiPriority w:val="99"/>
    <w:qFormat/>
    <w:rPr>
      <w:rFonts w:hint="eastAsia" w:ascii="宋体" w:hAnsi="Courier New" w:eastAsia="宋体" w:cs="宋体"/>
      <w:sz w:val="21"/>
    </w:rPr>
  </w:style>
  <w:style w:type="paragraph" w:styleId="1079" w:customStyle="1">
    <w:name w:val="目录 81"/>
    <w:basedOn w:val="852"/>
    <w:next w:val="852"/>
    <w:uiPriority w:val="0"/>
    <w:qFormat/>
    <w:pPr>
      <w:ind w:left="2940"/>
    </w:pPr>
  </w:style>
  <w:style w:type="paragraph" w:styleId="1080" w:customStyle="1">
    <w:name w:val="日期1"/>
    <w:basedOn w:val="852"/>
    <w:next w:val="852"/>
    <w:link w:val="1081"/>
    <w:uiPriority w:val="0"/>
    <w:qFormat/>
    <w:pPr>
      <w:ind w:left="100"/>
    </w:pPr>
    <w:rPr>
      <w:rFonts w:ascii="仿宋_GB2312" w:hAnsi="宋体" w:eastAsia="仿宋_GB2312"/>
      <w:color w:val="000000"/>
      <w:sz w:val="24"/>
    </w:rPr>
  </w:style>
  <w:style w:type="character" w:styleId="1081" w:customStyle="1">
    <w:name w:val="日期 Char"/>
    <w:link w:val="1080"/>
    <w:uiPriority w:val="0"/>
    <w:qFormat/>
    <w:rPr>
      <w:rFonts w:ascii="仿宋_GB2312" w:hAnsi="宋体" w:eastAsia="仿宋_GB2312"/>
      <w:color w:val="000000"/>
      <w:sz w:val="24"/>
      <w:szCs w:val="24"/>
    </w:rPr>
  </w:style>
  <w:style w:type="paragraph" w:styleId="1082" w:customStyle="1">
    <w:name w:val="正文文本缩进 21"/>
    <w:basedOn w:val="852"/>
    <w:link w:val="1083"/>
    <w:uiPriority w:val="0"/>
    <w:qFormat/>
    <w:pPr>
      <w:ind w:firstLine="480"/>
    </w:pPr>
    <w:rPr>
      <w:rFonts w:ascii="仿宋_GB2312" w:eastAsia="仿宋_GB2312"/>
      <w:sz w:val="24"/>
    </w:rPr>
  </w:style>
  <w:style w:type="character" w:styleId="1083" w:customStyle="1">
    <w:name w:val="正文文本缩进 2 Char"/>
    <w:link w:val="1082"/>
    <w:uiPriority w:val="0"/>
    <w:qFormat/>
    <w:rPr>
      <w:rFonts w:ascii="仿宋_GB2312" w:eastAsia="仿宋_GB2312"/>
      <w:sz w:val="24"/>
      <w:szCs w:val="24"/>
    </w:rPr>
  </w:style>
  <w:style w:type="paragraph" w:styleId="1084" w:customStyle="1">
    <w:name w:val="批注框文本1"/>
    <w:basedOn w:val="852"/>
    <w:link w:val="1085"/>
    <w:uiPriority w:val="0"/>
    <w:qFormat/>
    <w:rPr>
      <w:sz w:val="18"/>
      <w:szCs w:val="18"/>
    </w:rPr>
  </w:style>
  <w:style w:type="character" w:styleId="1085" w:customStyle="1">
    <w:name w:val="批注框文本 Char"/>
    <w:link w:val="1084"/>
    <w:uiPriority w:val="0"/>
    <w:qFormat/>
    <w:rPr>
      <w:sz w:val="18"/>
      <w:szCs w:val="18"/>
    </w:rPr>
  </w:style>
  <w:style w:type="paragraph" w:styleId="1086" w:customStyle="1">
    <w:name w:val="页脚1"/>
    <w:basedOn w:val="852"/>
    <w:link w:val="1087"/>
    <w:uiPriority w:val="99"/>
    <w:qFormat/>
    <w:pPr>
      <w:jc w:val="left"/>
      <w:tabs>
        <w:tab w:val="center" w:pos="4153" w:leader="none"/>
        <w:tab w:val="right" w:pos="8306" w:leader="none"/>
      </w:tabs>
    </w:pPr>
    <w:rPr>
      <w:rFonts w:ascii="宋体"/>
      <w:sz w:val="18"/>
      <w:szCs w:val="20"/>
    </w:rPr>
  </w:style>
  <w:style w:type="character" w:styleId="1087" w:customStyle="1">
    <w:name w:val="页脚 Char1"/>
    <w:link w:val="1086"/>
    <w:uiPriority w:val="99"/>
    <w:qFormat/>
    <w:rPr>
      <w:rFonts w:ascii="宋体" w:eastAsia="宋体"/>
      <w:sz w:val="18"/>
      <w:lang w:val="en-US" w:eastAsia="zh-CN" w:bidi="ar-SA"/>
    </w:rPr>
  </w:style>
  <w:style w:type="paragraph" w:styleId="1088" w:customStyle="1">
    <w:name w:val="页眉1"/>
    <w:basedOn w:val="852"/>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89" w:customStyle="1">
    <w:name w:val="页眉 Char1"/>
    <w:link w:val="1088"/>
    <w:uiPriority w:val="0"/>
    <w:qFormat/>
    <w:rPr>
      <w:rFonts w:eastAsia="宋体"/>
      <w:sz w:val="18"/>
      <w:szCs w:val="18"/>
      <w:lang w:val="en-US" w:eastAsia="zh-CN" w:bidi="ar-SA"/>
    </w:rPr>
  </w:style>
  <w:style w:type="paragraph" w:styleId="1090" w:customStyle="1">
    <w:name w:val="目录 11"/>
    <w:basedOn w:val="852"/>
    <w:next w:val="852"/>
    <w:uiPriority w:val="39"/>
    <w:qFormat/>
    <w:pPr>
      <w:spacing w:line="300" w:lineRule="auto"/>
      <w:tabs>
        <w:tab w:val="left" w:pos="1050" w:leader="none"/>
        <w:tab w:val="right" w:pos="8937" w:leader="dot"/>
      </w:tabs>
    </w:pPr>
    <w:rPr>
      <w:rFonts w:ascii="宋体" w:hAnsi="宋体"/>
      <w:b/>
      <w:sz w:val="24"/>
    </w:rPr>
  </w:style>
  <w:style w:type="paragraph" w:styleId="1091" w:customStyle="1">
    <w:name w:val="目录 61"/>
    <w:basedOn w:val="852"/>
    <w:next w:val="852"/>
    <w:uiPriority w:val="0"/>
    <w:qFormat/>
    <w:pPr>
      <w:ind w:left="2100"/>
    </w:pPr>
  </w:style>
  <w:style w:type="paragraph" w:styleId="1092" w:customStyle="1">
    <w:name w:val="正文文本缩进 31"/>
    <w:basedOn w:val="852"/>
    <w:link w:val="1093"/>
    <w:uiPriority w:val="0"/>
    <w:qFormat/>
    <w:pPr>
      <w:ind w:left="720" w:firstLine="480"/>
      <w:jc w:val="left"/>
      <w:spacing w:before="120" w:line="22" w:lineRule="atLeast"/>
    </w:pPr>
    <w:rPr>
      <w:rFonts w:ascii="宋体"/>
      <w:sz w:val="24"/>
      <w:szCs w:val="20"/>
    </w:rPr>
  </w:style>
  <w:style w:type="character" w:styleId="1093" w:customStyle="1">
    <w:name w:val="正文文本缩进 3 Char"/>
    <w:link w:val="1092"/>
    <w:uiPriority w:val="0"/>
    <w:qFormat/>
    <w:rPr>
      <w:rFonts w:ascii="宋体"/>
      <w:sz w:val="24"/>
    </w:rPr>
  </w:style>
  <w:style w:type="paragraph" w:styleId="1094" w:customStyle="1">
    <w:name w:val="目录 21"/>
    <w:basedOn w:val="852"/>
    <w:next w:val="852"/>
    <w:uiPriority w:val="39"/>
    <w:qFormat/>
    <w:pPr>
      <w:ind w:left="420"/>
      <w:spacing w:line="312" w:lineRule="auto"/>
      <w:tabs>
        <w:tab w:val="right" w:pos="8937" w:leader="dot"/>
      </w:tabs>
    </w:pPr>
  </w:style>
  <w:style w:type="paragraph" w:styleId="1095" w:customStyle="1">
    <w:name w:val="目录 91"/>
    <w:basedOn w:val="852"/>
    <w:next w:val="852"/>
    <w:uiPriority w:val="0"/>
    <w:qFormat/>
    <w:pPr>
      <w:ind w:left="3360"/>
    </w:pPr>
  </w:style>
  <w:style w:type="paragraph" w:styleId="1096" w:customStyle="1">
    <w:name w:val="HTML 预设格式1"/>
    <w:basedOn w:val="852"/>
    <w:link w:val="10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7" w:customStyle="1">
    <w:name w:val="HTML 预设格式 Char"/>
    <w:link w:val="1096"/>
    <w:uiPriority w:val="0"/>
    <w:qFormat/>
    <w:rPr>
      <w:rFonts w:ascii="宋体" w:hAnsi="宋体" w:cs="宋体"/>
      <w:sz w:val="24"/>
      <w:szCs w:val="24"/>
    </w:rPr>
  </w:style>
  <w:style w:type="paragraph" w:styleId="1098" w:customStyle="1">
    <w:name w:val="普通(网站)1"/>
    <w:basedOn w:val="852"/>
    <w:uiPriority w:val="99"/>
    <w:unhideWhenUsed/>
    <w:qFormat/>
    <w:pPr>
      <w:jc w:val="left"/>
      <w:spacing w:before="100" w:beforeAutospacing="1" w:after="100" w:afterAutospacing="1"/>
      <w:widowControl/>
    </w:pPr>
    <w:rPr>
      <w:rFonts w:ascii="宋体" w:hAnsi="宋体" w:cs="宋体"/>
      <w:sz w:val="24"/>
    </w:rPr>
  </w:style>
  <w:style w:type="paragraph" w:styleId="1099" w:customStyle="1">
    <w:name w:val="索引 11"/>
    <w:basedOn w:val="852"/>
    <w:next w:val="852"/>
    <w:uiPriority w:val="0"/>
    <w:qFormat/>
    <w:rPr>
      <w:szCs w:val="20"/>
    </w:rPr>
  </w:style>
  <w:style w:type="paragraph" w:styleId="1100" w:customStyle="1">
    <w:name w:val="标题1"/>
    <w:basedOn w:val="852"/>
    <w:link w:val="1101"/>
    <w:uiPriority w:val="0"/>
    <w:qFormat/>
    <w:pPr>
      <w:jc w:val="center"/>
      <w:outlineLvl w:val="0"/>
    </w:pPr>
    <w:rPr>
      <w:b/>
      <w:sz w:val="32"/>
      <w:szCs w:val="20"/>
    </w:rPr>
  </w:style>
  <w:style w:type="character" w:styleId="1101" w:customStyle="1">
    <w:name w:val="标题 Char1"/>
    <w:link w:val="1100"/>
    <w:uiPriority w:val="0"/>
    <w:qFormat/>
    <w:rPr>
      <w:b/>
      <w:sz w:val="32"/>
    </w:rPr>
  </w:style>
  <w:style w:type="paragraph" w:styleId="1102" w:customStyle="1">
    <w:name w:val="批注主题1"/>
    <w:basedOn w:val="1064"/>
    <w:next w:val="1064"/>
    <w:link w:val="1103"/>
    <w:uiPriority w:val="0"/>
    <w:qFormat/>
    <w:rPr>
      <w:b/>
      <w:bCs/>
    </w:rPr>
  </w:style>
  <w:style w:type="character" w:styleId="1103" w:customStyle="1">
    <w:name w:val="批注主题 Char"/>
    <w:link w:val="1102"/>
    <w:uiPriority w:val="0"/>
    <w:qFormat/>
    <w:rPr>
      <w:rFonts w:ascii="Times New Roman" w:hAnsi="Times New Roman" w:eastAsia="宋体" w:cs="Times New Roman"/>
      <w:b/>
      <w:bCs/>
      <w:sz w:val="21"/>
      <w:szCs w:val="24"/>
      <w:lang w:val="en-US" w:eastAsia="zh-CN" w:bidi="ar-SA"/>
    </w:rPr>
  </w:style>
  <w:style w:type="paragraph" w:styleId="1104" w:customStyle="1">
    <w:name w:val="正文首行缩进 21"/>
    <w:basedOn w:val="1070"/>
    <w:link w:val="1105"/>
    <w:uiPriority w:val="0"/>
    <w:qFormat/>
    <w:pPr>
      <w:ind w:left="420" w:firstLine="420"/>
      <w:spacing w:after="120" w:line="480" w:lineRule="exact"/>
    </w:pPr>
    <w:rPr>
      <w:szCs w:val="20"/>
    </w:rPr>
  </w:style>
  <w:style w:type="character" w:styleId="1105" w:customStyle="1">
    <w:name w:val="正文首行缩进 2 Char"/>
    <w:link w:val="1104"/>
    <w:uiPriority w:val="0"/>
    <w:qFormat/>
    <w:rPr>
      <w:rFonts w:eastAsia="宋体"/>
      <w:sz w:val="24"/>
      <w:szCs w:val="24"/>
      <w:lang w:val="en-US" w:eastAsia="zh-CN" w:bidi="ar-SA"/>
    </w:rPr>
  </w:style>
  <w:style w:type="table" w:styleId="1106" w:customStyle="1">
    <w:name w:val="网格型1"/>
    <w:basedOn w:val="1049"/>
    <w:uiPriority w:val="0"/>
    <w:qFormat/>
    <w:tblPr/>
  </w:style>
  <w:style w:type="table" w:styleId="1107" w:customStyle="1">
    <w:name w:val="中等深浅网格 1 - 强调文字颜色 21"/>
    <w:basedOn w:val="1049"/>
    <w:uiPriority w:val="0"/>
    <w:qFormat/>
    <w:rPr>
      <w:sz w:val="21"/>
      <w:szCs w:val="24"/>
    </w:rPr>
    <w:tblPr/>
  </w:style>
  <w:style w:type="character" w:styleId="1108" w:customStyle="1">
    <w:name w:val="要点1"/>
    <w:link w:val="852"/>
    <w:uiPriority w:val="22"/>
    <w:qFormat/>
    <w:rPr>
      <w:b/>
      <w:bCs/>
    </w:rPr>
  </w:style>
  <w:style w:type="character" w:styleId="1109" w:customStyle="1">
    <w:name w:val="页码1"/>
    <w:link w:val="852"/>
    <w:uiPriority w:val="0"/>
    <w:qFormat/>
  </w:style>
  <w:style w:type="character" w:styleId="1110" w:customStyle="1">
    <w:name w:val="访问过的超链接"/>
    <w:link w:val="852"/>
    <w:uiPriority w:val="0"/>
    <w:qFormat/>
    <w:rPr>
      <w:color w:val="800080"/>
      <w:u w:val="single"/>
    </w:rPr>
  </w:style>
  <w:style w:type="character" w:styleId="1111" w:customStyle="1">
    <w:name w:val="强调1"/>
    <w:link w:val="852"/>
    <w:uiPriority w:val="0"/>
    <w:qFormat/>
    <w:rPr>
      <w:color w:val="cc0033"/>
    </w:rPr>
  </w:style>
  <w:style w:type="character" w:styleId="1112" w:customStyle="1">
    <w:name w:val="超链接1"/>
    <w:link w:val="852"/>
    <w:uiPriority w:val="99"/>
    <w:qFormat/>
    <w:rPr>
      <w:color w:val="0000ff"/>
      <w:u w:val="single"/>
    </w:rPr>
  </w:style>
  <w:style w:type="character" w:styleId="1113" w:customStyle="1">
    <w:name w:val="批注引用1"/>
    <w:link w:val="852"/>
    <w:uiPriority w:val="99"/>
    <w:qFormat/>
    <w:rPr>
      <w:sz w:val="21"/>
      <w:szCs w:val="21"/>
    </w:rPr>
  </w:style>
  <w:style w:type="character" w:styleId="1114" w:customStyle="1">
    <w:name w:val="HTML 引文1"/>
    <w:link w:val="852"/>
    <w:uiPriority w:val="0"/>
    <w:qFormat/>
    <w:rPr>
      <w:i/>
      <w:iCs/>
    </w:rPr>
  </w:style>
  <w:style w:type="character" w:styleId="1115" w:customStyle="1">
    <w:name w:val="批注文字 字符"/>
    <w:link w:val="852"/>
    <w:uiPriority w:val="99"/>
    <w:qFormat/>
    <w:rPr>
      <w:rFonts w:ascii="Times New Roman" w:hAnsi="Times New Roman" w:eastAsia="宋体" w:cs="Times New Roman"/>
      <w:sz w:val="24"/>
      <w:lang w:val="en-US" w:eastAsia="zh-CN" w:bidi="ar-SA"/>
    </w:rPr>
  </w:style>
  <w:style w:type="character" w:styleId="1116" w:customStyle="1">
    <w:name w:val="c21"/>
    <w:link w:val="852"/>
    <w:uiPriority w:val="0"/>
    <w:qFormat/>
    <w:rPr>
      <w:rFonts w:ascii="ˎ̥" w:hAnsi="ˎ̥"/>
      <w:color w:val="000000"/>
      <w:sz w:val="20"/>
      <w:szCs w:val="20"/>
      <w:u w:val="none"/>
    </w:rPr>
  </w:style>
  <w:style w:type="character" w:styleId="1117" w:customStyle="1">
    <w:name w:val="title4"/>
    <w:link w:val="852"/>
    <w:uiPriority w:val="0"/>
    <w:qFormat/>
    <w:rPr>
      <w:b/>
      <w:bCs/>
      <w:color w:val="1d87b3"/>
      <w:sz w:val="15"/>
      <w:szCs w:val="15"/>
    </w:rPr>
  </w:style>
  <w:style w:type="character" w:styleId="1118" w:customStyle="1">
    <w:name w:val="标题 2 Char Char"/>
    <w:link w:val="852"/>
    <w:uiPriority w:val="0"/>
    <w:qFormat/>
    <w:rPr>
      <w:rFonts w:ascii="Arial" w:hAnsi="Arial" w:eastAsia="黑体"/>
      <w:b/>
      <w:bCs/>
      <w:sz w:val="32"/>
      <w:szCs w:val="32"/>
      <w:lang w:val="en-US" w:eastAsia="zh-CN" w:bidi="ar-SA"/>
    </w:rPr>
  </w:style>
  <w:style w:type="character" w:styleId="1119" w:customStyle="1">
    <w:name w:val="black1"/>
    <w:link w:val="852"/>
    <w:uiPriority w:val="0"/>
    <w:qFormat/>
    <w:rPr>
      <w:color w:val="000000"/>
    </w:rPr>
  </w:style>
  <w:style w:type="character" w:styleId="1120" w:customStyle="1">
    <w:name w:val="street-address"/>
    <w:link w:val="852"/>
    <w:uiPriority w:val="0"/>
    <w:qFormat/>
  </w:style>
  <w:style w:type="character" w:styleId="1121" w:customStyle="1">
    <w:name w:val="locality"/>
    <w:link w:val="852"/>
    <w:uiPriority w:val="0"/>
    <w:qFormat/>
  </w:style>
  <w:style w:type="character" w:styleId="1122" w:customStyle="1">
    <w:name w:val="正文文本缩进 Char1"/>
    <w:link w:val="1123"/>
    <w:uiPriority w:val="0"/>
    <w:qFormat/>
    <w:rPr>
      <w:rFonts w:ascii="宋体" w:hAnsi="宋体" w:eastAsia="宋体"/>
      <w:sz w:val="24"/>
      <w:szCs w:val="24"/>
      <w:lang w:bidi="ar-SA"/>
    </w:rPr>
  </w:style>
  <w:style w:type="paragraph" w:styleId="1123" w:customStyle="1">
    <w:name w:val="正文文本缩进1"/>
    <w:basedOn w:val="852"/>
    <w:link w:val="1122"/>
    <w:uiPriority w:val="0"/>
    <w:qFormat/>
    <w:pPr>
      <w:ind w:firstLine="480"/>
      <w:spacing w:line="480" w:lineRule="exact"/>
    </w:pPr>
    <w:rPr>
      <w:rFonts w:ascii="宋体" w:hAnsi="宋体"/>
      <w:sz w:val="24"/>
    </w:rPr>
  </w:style>
  <w:style w:type="character" w:styleId="1124" w:customStyle="1">
    <w:name w:val="Char Char11"/>
    <w:link w:val="852"/>
    <w:uiPriority w:val="0"/>
    <w:qFormat/>
    <w:rPr>
      <w:rFonts w:ascii="宋体" w:eastAsia="宋体"/>
      <w:b/>
      <w:sz w:val="24"/>
      <w:u w:val="single"/>
      <w:lang w:val="en-US" w:eastAsia="zh-CN" w:bidi="ar-SA"/>
    </w:rPr>
  </w:style>
  <w:style w:type="character" w:styleId="1125" w:customStyle="1">
    <w:name w:val="txt"/>
    <w:link w:val="852"/>
    <w:uiPriority w:val="0"/>
    <w:qFormat/>
  </w:style>
  <w:style w:type="character" w:styleId="1126" w:customStyle="1">
    <w:name w:val="正文缩进 Char Char"/>
    <w:link w:val="1127"/>
    <w:uiPriority w:val="0"/>
    <w:qFormat/>
    <w:rPr>
      <w:rFonts w:ascii="宋体" w:eastAsia="宋体"/>
      <w:color w:val="000000"/>
      <w:sz w:val="28"/>
      <w:lang w:bidi="ar-SA"/>
    </w:rPr>
  </w:style>
  <w:style w:type="paragraph" w:styleId="1127" w:customStyle="1">
    <w:name w:val="正文缩进1"/>
    <w:basedOn w:val="852"/>
    <w:link w:val="1126"/>
    <w:uiPriority w:val="0"/>
    <w:qFormat/>
    <w:pPr>
      <w:ind w:firstLine="567"/>
      <w:spacing w:line="480" w:lineRule="exact"/>
      <w:widowControl/>
    </w:pPr>
    <w:rPr>
      <w:rFonts w:ascii="宋体"/>
      <w:color w:val="000000"/>
      <w:sz w:val="28"/>
      <w:szCs w:val="20"/>
    </w:rPr>
  </w:style>
  <w:style w:type="character" w:styleId="1128" w:customStyle="1">
    <w:name w:val="普通文字1 Char1"/>
    <w:link w:val="852"/>
    <w:uiPriority w:val="0"/>
    <w:qFormat/>
    <w:rPr>
      <w:rFonts w:ascii="宋体" w:hAnsi="Courier New" w:eastAsia="宋体"/>
      <w:sz w:val="21"/>
      <w:lang w:val="en-US" w:eastAsia="zh-CN" w:bidi="ar-SA"/>
    </w:rPr>
  </w:style>
  <w:style w:type="character" w:styleId="1129" w:customStyle="1">
    <w:name w:val="chanpin1"/>
    <w:link w:val="852"/>
    <w:uiPriority w:val="0"/>
    <w:qFormat/>
    <w:rPr>
      <w:rFonts w:ascii="ˎ̥" w:hAnsi="ˎ̥"/>
      <w:color w:val="000000"/>
      <w:sz w:val="20"/>
      <w:szCs w:val="20"/>
      <w:u w:val="none"/>
    </w:rPr>
  </w:style>
  <w:style w:type="character" w:styleId="1130" w:customStyle="1">
    <w:name w:val="列出段落 Char1"/>
    <w:link w:val="1131"/>
    <w:uiPriority w:val="34"/>
    <w:qFormat/>
    <w:rPr>
      <w:rFonts w:ascii="Calibri" w:hAnsi="Calibri" w:eastAsia="宋体"/>
      <w:sz w:val="21"/>
      <w:szCs w:val="22"/>
      <w:lang w:val="en-US" w:eastAsia="zh-CN" w:bidi="ar-SA"/>
    </w:rPr>
  </w:style>
  <w:style w:type="paragraph" w:styleId="1131" w:customStyle="1">
    <w:name w:val="列出段落"/>
    <w:basedOn w:val="852"/>
    <w:link w:val="1130"/>
    <w:uiPriority w:val="34"/>
    <w:qFormat/>
    <w:pPr>
      <w:ind w:firstLine="420"/>
    </w:pPr>
    <w:rPr>
      <w:rFonts w:ascii="Calibri" w:hAnsi="Calibri"/>
      <w:szCs w:val="22"/>
    </w:rPr>
  </w:style>
  <w:style w:type="character" w:styleId="1132" w:customStyle="1">
    <w:name w:val="标题 3 Char Char"/>
    <w:link w:val="852"/>
    <w:uiPriority w:val="0"/>
    <w:qFormat/>
    <w:rPr>
      <w:rFonts w:eastAsia="宋体"/>
      <w:b/>
      <w:bCs/>
      <w:sz w:val="32"/>
      <w:szCs w:val="32"/>
      <w:lang w:val="en-US" w:eastAsia="zh-CN" w:bidi="ar-SA"/>
    </w:rPr>
  </w:style>
  <w:style w:type="character" w:styleId="1133" w:customStyle="1">
    <w:name w:val="段1 Char"/>
    <w:link w:val="852"/>
    <w:uiPriority w:val="0"/>
    <w:qFormat/>
    <w:rPr>
      <w:rFonts w:ascii="宋体" w:eastAsia="宋体"/>
      <w:sz w:val="24"/>
      <w:lang w:val="en-US" w:eastAsia="zh-CN" w:bidi="ar-SA"/>
    </w:rPr>
  </w:style>
  <w:style w:type="character" w:styleId="1134" w:customStyle="1">
    <w:name w:val="chanpin拷贝"/>
    <w:link w:val="852"/>
    <w:uiPriority w:val="0"/>
    <w:qFormat/>
  </w:style>
  <w:style w:type="character" w:styleId="1135" w:customStyle="1">
    <w:name w:val="纯文本 Char1"/>
    <w:link w:val="852"/>
    <w:uiPriority w:val="0"/>
    <w:qFormat/>
    <w:rPr>
      <w:rFonts w:ascii="宋体" w:hAnsi="Courier New" w:eastAsia="宋体"/>
      <w:sz w:val="21"/>
      <w:lang w:val="en-US" w:eastAsia="zh-CN" w:bidi="ar-SA"/>
    </w:rPr>
  </w:style>
  <w:style w:type="character" w:styleId="1136" w:customStyle="1">
    <w:name w:val="apple-style-span"/>
    <w:link w:val="852"/>
    <w:uiPriority w:val="0"/>
    <w:qFormat/>
    <w:rPr>
      <w:rFonts w:cs="Times New Roman"/>
    </w:rPr>
  </w:style>
  <w:style w:type="paragraph" w:styleId="1137" w:customStyle="1">
    <w:name w:val="二级条标题"/>
    <w:basedOn w:val="1138"/>
    <w:next w:val="85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8" w:customStyle="1">
    <w:name w:val="一级条标题"/>
    <w:basedOn w:val="1139"/>
    <w:next w:val="852"/>
    <w:uiPriority w:val="0"/>
    <w:qFormat/>
    <w:pPr>
      <w:numPr>
        <w:ilvl w:val="1"/>
      </w:numPr>
      <w:ind w:left="0" w:hanging="840"/>
      <w:tabs>
        <w:tab w:val="left" w:pos="360" w:leader="none"/>
        <w:tab w:val="left" w:pos="840" w:leader="none"/>
      </w:tabs>
      <w:outlineLvl w:val="1"/>
    </w:pPr>
  </w:style>
  <w:style w:type="paragraph" w:styleId="1139" w:customStyle="1">
    <w:name w:val="章标题"/>
    <w:next w:val="85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0" w:customStyle="1">
    <w:name w:val="font7"/>
    <w:basedOn w:val="852"/>
    <w:uiPriority w:val="0"/>
    <w:qFormat/>
    <w:pPr>
      <w:jc w:val="left"/>
      <w:spacing w:before="100" w:beforeAutospacing="1" w:after="100" w:afterAutospacing="1"/>
      <w:widowControl/>
    </w:pPr>
    <w:rPr>
      <w:rFonts w:eastAsia="Arial Unicode MS"/>
      <w:b/>
      <w:bCs/>
      <w:color w:val="000000"/>
      <w:sz w:val="20"/>
      <w:szCs w:val="20"/>
    </w:rPr>
  </w:style>
  <w:style w:type="paragraph" w:styleId="1141" w:customStyle="1">
    <w:name w:val="字元 字元"/>
    <w:basedOn w:val="852"/>
    <w:uiPriority w:val="0"/>
    <w:qFormat/>
    <w:rPr>
      <w:rFonts w:ascii="Tahoma" w:hAnsi="Tahoma"/>
      <w:sz w:val="24"/>
      <w:szCs w:val="20"/>
    </w:rPr>
  </w:style>
  <w:style w:type="paragraph" w:styleId="1142" w:customStyle="1">
    <w:name w:val="Char3 Char Char Char"/>
    <w:basedOn w:val="852"/>
    <w:uiPriority w:val="0"/>
    <w:qFormat/>
    <w:rPr>
      <w:rFonts w:ascii="Tahoma" w:hAnsi="Tahoma"/>
      <w:sz w:val="24"/>
      <w:szCs w:val="20"/>
    </w:rPr>
  </w:style>
  <w:style w:type="paragraph" w:styleId="1143" w:customStyle="1">
    <w:name w:val="font6"/>
    <w:basedOn w:val="852"/>
    <w:uiPriority w:val="0"/>
    <w:qFormat/>
    <w:pPr>
      <w:jc w:val="left"/>
      <w:spacing w:before="100" w:beforeAutospacing="1" w:after="100" w:afterAutospacing="1"/>
      <w:widowControl/>
    </w:pPr>
    <w:rPr>
      <w:rFonts w:ascii="宋体" w:hAnsi="宋体" w:cs="宋体"/>
      <w:sz w:val="20"/>
      <w:szCs w:val="20"/>
    </w:rPr>
  </w:style>
  <w:style w:type="paragraph" w:styleId="1144" w:customStyle="1">
    <w:name w:val="项目编号2"/>
    <w:basedOn w:val="1145"/>
    <w:uiPriority w:val="0"/>
    <w:qFormat/>
    <w:pPr>
      <w:numPr>
        <w:numId w:val="2"/>
      </w:numPr>
    </w:pPr>
  </w:style>
  <w:style w:type="paragraph" w:styleId="1145" w:customStyle="1">
    <w:name w:val="项目编号1"/>
    <w:basedOn w:val="852"/>
    <w:uiPriority w:val="0"/>
    <w:qFormat/>
    <w:pPr>
      <w:numPr>
        <w:ilvl w:val="0"/>
        <w:numId w:val="3"/>
      </w:numPr>
      <w:spacing w:before="100" w:beforeAutospacing="1" w:after="100" w:afterAutospacing="1" w:line="360" w:lineRule="auto"/>
    </w:pPr>
    <w:rPr>
      <w:sz w:val="24"/>
    </w:rPr>
  </w:style>
  <w:style w:type="paragraph" w:styleId="1146" w:customStyle="1">
    <w:name w:val="图中文字"/>
    <w:basedOn w:val="852"/>
    <w:uiPriority w:val="0"/>
    <w:qFormat/>
    <w:pPr>
      <w:jc w:val="center"/>
      <w:spacing w:line="0" w:lineRule="atLeast"/>
    </w:pPr>
    <w:rPr>
      <w:sz w:val="24"/>
      <w:szCs w:val="20"/>
    </w:rPr>
  </w:style>
  <w:style w:type="paragraph" w:styleId="1147" w:customStyle="1">
    <w:name w:val="xl46"/>
    <w:basedOn w:val="85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customStyle="1">
    <w:name w:val="xl2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9" w:customStyle="1">
    <w:name w:val="Char2"/>
    <w:basedOn w:val="852"/>
    <w:uiPriority w:val="0"/>
    <w:qFormat/>
    <w:rPr>
      <w:rFonts w:ascii="Tahoma" w:hAnsi="Tahoma"/>
      <w:sz w:val="24"/>
      <w:szCs w:val="20"/>
    </w:rPr>
  </w:style>
  <w:style w:type="paragraph" w:styleId="1150" w:customStyle="1">
    <w:name w:val="xl35"/>
    <w:basedOn w:val="8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xl4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customStyle="1">
    <w:name w:val="xl52"/>
    <w:basedOn w:val="8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3" w:customStyle="1">
    <w:name w:val="xl43"/>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4" w:customStyle="1">
    <w:name w:val="background1"/>
    <w:basedOn w:val="852"/>
    <w:uiPriority w:val="0"/>
    <w:qFormat/>
    <w:pPr>
      <w:jc w:val="left"/>
      <w:spacing w:before="100" w:beforeAutospacing="1" w:after="100" w:afterAutospacing="1"/>
      <w:widowControl/>
    </w:pPr>
    <w:rPr>
      <w:rFonts w:ascii="宋体" w:hAnsi="宋体" w:cs="宋体"/>
      <w:sz w:val="24"/>
    </w:rPr>
  </w:style>
  <w:style w:type="paragraph" w:styleId="1155" w:customStyle="1">
    <w:name w:val="Char Char Char Char Char Char Char"/>
    <w:basedOn w:val="852"/>
    <w:uiPriority w:val="0"/>
    <w:qFormat/>
    <w:pPr>
      <w:ind w:firstLine="200"/>
      <w:spacing w:line="360" w:lineRule="auto"/>
    </w:pPr>
    <w:rPr>
      <w:rFonts w:eastAsia="仿宋_GB2312"/>
      <w:sz w:val="24"/>
    </w:rPr>
  </w:style>
  <w:style w:type="paragraph" w:styleId="1156" w:customStyle="1">
    <w:name w:val="xl3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7" w:customStyle="1">
    <w:name w:val="xl36"/>
    <w:basedOn w:val="85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正文 + 宋体"/>
    <w:basedOn w:val="852"/>
    <w:uiPriority w:val="0"/>
    <w:qFormat/>
    <w:pPr>
      <w:ind w:left="360" w:hanging="360"/>
      <w:jc w:val="left"/>
      <w:widowControl/>
    </w:pPr>
    <w:rPr>
      <w:rFonts w:ascii="宋体" w:hAnsi="宋体" w:cs="宋体"/>
      <w:b/>
      <w:bCs/>
      <w:color w:val="000000"/>
      <w:sz w:val="18"/>
      <w:szCs w:val="18"/>
    </w:rPr>
  </w:style>
  <w:style w:type="paragraph" w:styleId="1159" w:customStyle="1">
    <w:name w:val="正文列项_数字"/>
    <w:basedOn w:val="85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0" w:customStyle="1">
    <w:name w:val="xl3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37"/>
    <w:basedOn w:val="8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xl32"/>
    <w:basedOn w:val="8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font8"/>
    <w:basedOn w:val="852"/>
    <w:uiPriority w:val="0"/>
    <w:qFormat/>
    <w:pPr>
      <w:jc w:val="left"/>
      <w:spacing w:before="100" w:beforeAutospacing="1" w:after="100" w:afterAutospacing="1"/>
      <w:widowControl/>
    </w:pPr>
    <w:rPr>
      <w:sz w:val="36"/>
      <w:szCs w:val="36"/>
    </w:rPr>
  </w:style>
  <w:style w:type="paragraph" w:styleId="1164" w:customStyle="1">
    <w:name w:val="Char"/>
    <w:basedOn w:val="852"/>
    <w:uiPriority w:val="0"/>
    <w:qFormat/>
    <w:pPr>
      <w:tabs>
        <w:tab w:val="left" w:pos="360" w:leader="none"/>
      </w:tabs>
    </w:pPr>
    <w:rPr>
      <w:sz w:val="24"/>
    </w:rPr>
  </w:style>
  <w:style w:type="paragraph" w:styleId="1165" w:customStyle="1">
    <w:name w:val="Char Char Char Char Char Char Char Char Char Char Char Char Char Char Char Char"/>
    <w:basedOn w:val="852"/>
    <w:uiPriority w:val="0"/>
    <w:qFormat/>
    <w:pPr>
      <w:jc w:val="center"/>
      <w:spacing w:after="160" w:line="240" w:lineRule="exact"/>
      <w:widowControl/>
    </w:pPr>
    <w:rPr>
      <w:rFonts w:ascii="宋体" w:hAnsi="宋体"/>
      <w:b/>
      <w:sz w:val="30"/>
      <w:szCs w:val="30"/>
      <w:lang w:eastAsia="en-US"/>
    </w:rPr>
  </w:style>
  <w:style w:type="paragraph" w:styleId="1166" w:customStyle="1">
    <w:name w:val="xl4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customStyle="1">
    <w:name w:val="Char Char1 Char Char Char Char Char Char"/>
    <w:basedOn w:val="852"/>
    <w:uiPriority w:val="0"/>
    <w:qFormat/>
    <w:pPr>
      <w:jc w:val="left"/>
      <w:spacing w:after="160" w:line="240" w:lineRule="exact"/>
      <w:widowControl/>
    </w:pPr>
    <w:rPr>
      <w:rFonts w:ascii="Verdana" w:hAnsi="Verdana" w:eastAsia="仿宋_GB2312"/>
      <w:sz w:val="24"/>
      <w:szCs w:val="20"/>
      <w:lang w:eastAsia="en-US"/>
    </w:rPr>
  </w:style>
  <w:style w:type="paragraph" w:styleId="1168" w:customStyle="1">
    <w:name w:val="Char Char1"/>
    <w:basedOn w:val="1062"/>
    <w:uiPriority w:val="0"/>
    <w:qFormat/>
    <w:rPr>
      <w:rFonts w:ascii="Tahoma" w:hAnsi="Tahoma"/>
      <w:sz w:val="24"/>
    </w:rPr>
  </w:style>
  <w:style w:type="paragraph" w:styleId="1169" w:customStyle="1">
    <w:name w:val="xl26"/>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0" w:customStyle="1">
    <w:name w:val="xl3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41"/>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2" w:customStyle="1">
    <w:name w:val="样式 宋体 五号 行距: 单倍行距"/>
    <w:basedOn w:val="852"/>
    <w:uiPriority w:val="0"/>
    <w:qFormat/>
    <w:pPr>
      <w:jc w:val="left"/>
    </w:pPr>
    <w:rPr>
      <w:rFonts w:ascii="宋体" w:hAnsi="宋体"/>
      <w:szCs w:val="20"/>
    </w:rPr>
  </w:style>
  <w:style w:type="paragraph" w:styleId="1173" w:customStyle="1">
    <w:name w:val="Char1 Char Char Char1"/>
    <w:basedOn w:val="852"/>
    <w:uiPriority w:val="0"/>
    <w:qFormat/>
    <w:rPr>
      <w:rFonts w:ascii="Tahoma" w:hAnsi="Tahoma" w:cs="仿宋_GB2312"/>
      <w:sz w:val="24"/>
      <w:szCs w:val="28"/>
    </w:rPr>
  </w:style>
  <w:style w:type="paragraph" w:styleId="1174" w:customStyle="1">
    <w:name w:val="四级条标题"/>
    <w:basedOn w:val="1175"/>
    <w:next w:val="852"/>
    <w:uiPriority w:val="0"/>
    <w:qFormat/>
    <w:pPr>
      <w:numPr>
        <w:ilvl w:val="4"/>
      </w:numPr>
      <w:ind w:left="0" w:hanging="840"/>
      <w:tabs>
        <w:tab w:val="left" w:pos="360" w:leader="none"/>
        <w:tab w:val="left" w:pos="840" w:leader="none"/>
      </w:tabs>
      <w:outlineLvl w:val="4"/>
    </w:pPr>
  </w:style>
  <w:style w:type="paragraph" w:styleId="1175" w:customStyle="1">
    <w:name w:val="三级条标题"/>
    <w:basedOn w:val="1137"/>
    <w:next w:val="852"/>
    <w:uiPriority w:val="0"/>
    <w:qFormat/>
    <w:pPr>
      <w:numPr>
        <w:ilvl w:val="3"/>
        <w:numId w:val="1"/>
      </w:numPr>
      <w:ind w:left="0" w:hanging="840"/>
      <w:outlineLvl w:val="3"/>
    </w:pPr>
  </w:style>
  <w:style w:type="paragraph" w:styleId="117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7" w:customStyle="1">
    <w:name w:val="样式 标题 2 + 宋体 五号 行距: 单倍行距"/>
    <w:basedOn w:val="1039"/>
    <w:uiPriority w:val="0"/>
    <w:qFormat/>
    <w:pPr>
      <w:numPr>
        <w:ilvl w:val="1"/>
        <w:numId w:val="4"/>
      </w:numPr>
      <w:jc w:val="left"/>
      <w:spacing w:before="260" w:after="260" w:line="240" w:lineRule="auto"/>
    </w:pPr>
    <w:rPr>
      <w:rFonts w:ascii="宋体" w:hAnsi="宋体" w:eastAsia="宋体"/>
      <w:bCs/>
      <w:sz w:val="21"/>
    </w:rPr>
  </w:style>
  <w:style w:type="paragraph" w:styleId="1178" w:customStyle="1">
    <w:name w:val="List Paragraph1"/>
    <w:basedOn w:val="852"/>
    <w:uiPriority w:val="0"/>
    <w:qFormat/>
    <w:pPr>
      <w:ind w:firstLine="420"/>
    </w:pPr>
    <w:rPr>
      <w:rFonts w:ascii="Calibri" w:hAnsi="Calibri"/>
      <w:szCs w:val="22"/>
    </w:rPr>
  </w:style>
  <w:style w:type="paragraph" w:styleId="1179" w:customStyle="1">
    <w:name w:val="项目符号1"/>
    <w:basedOn w:val="1180"/>
    <w:uiPriority w:val="0"/>
    <w:qFormat/>
    <w:pPr>
      <w:ind w:left="-25" w:firstLine="0"/>
    </w:pPr>
  </w:style>
  <w:style w:type="paragraph" w:styleId="1180" w:customStyle="1">
    <w:name w:val="正文文本样式"/>
    <w:basedOn w:val="852"/>
    <w:uiPriority w:val="0"/>
    <w:qFormat/>
    <w:pPr>
      <w:ind w:firstLine="482"/>
      <w:spacing w:line="360" w:lineRule="auto"/>
    </w:pPr>
    <w:rPr>
      <w:rFonts w:cs="宋体"/>
      <w:sz w:val="24"/>
      <w:szCs w:val="20"/>
    </w:rPr>
  </w:style>
  <w:style w:type="paragraph" w:styleId="1181" w:customStyle="1">
    <w:name w:val="xl27"/>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customStyle="1">
    <w:name w:val="font5"/>
    <w:basedOn w:val="852"/>
    <w:uiPriority w:val="0"/>
    <w:qFormat/>
    <w:pPr>
      <w:jc w:val="left"/>
      <w:spacing w:before="100" w:beforeAutospacing="1" w:after="100" w:afterAutospacing="1"/>
      <w:widowControl/>
    </w:pPr>
    <w:rPr>
      <w:rFonts w:ascii="宋体" w:hAnsi="宋体" w:cs="宋体"/>
      <w:sz w:val="18"/>
      <w:szCs w:val="18"/>
    </w:rPr>
  </w:style>
  <w:style w:type="paragraph" w:styleId="1183" w:customStyle="1">
    <w:name w:val="五级条标题"/>
    <w:basedOn w:val="1174"/>
    <w:next w:val="852"/>
    <w:uiPriority w:val="0"/>
    <w:qFormat/>
    <w:pPr>
      <w:numPr>
        <w:ilvl w:val="5"/>
      </w:numPr>
      <w:ind w:left="0" w:hanging="840"/>
      <w:outlineLvl w:val="5"/>
    </w:pPr>
  </w:style>
  <w:style w:type="paragraph" w:styleId="1184" w:customStyle="1">
    <w:name w:val="xl49"/>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5" w:customStyle="1">
    <w:name w:val="文档正文"/>
    <w:basedOn w:val="852"/>
    <w:uiPriority w:val="0"/>
    <w:qFormat/>
    <w:pPr>
      <w:spacing w:before="120" w:after="120" w:line="180" w:lineRule="auto"/>
    </w:pPr>
    <w:rPr>
      <w:rFonts w:ascii="Arial" w:hAnsi="Arial"/>
      <w:szCs w:val="20"/>
    </w:rPr>
  </w:style>
  <w:style w:type="paragraph" w:styleId="1186" w:customStyle="1">
    <w:name w:val="xl33"/>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7" w:customStyle="1">
    <w:name w:val="xl42"/>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8" w:customStyle="1">
    <w:name w:val="Char Char Char1 Char"/>
    <w:basedOn w:val="852"/>
    <w:uiPriority w:val="0"/>
    <w:qFormat/>
    <w:rPr>
      <w:rFonts w:ascii="Tahoma" w:hAnsi="Tahoma"/>
      <w:sz w:val="24"/>
      <w:szCs w:val="20"/>
    </w:rPr>
  </w:style>
  <w:style w:type="paragraph" w:styleId="1189" w:customStyle="1">
    <w:name w:val="xl44"/>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0" w:customStyle="1">
    <w:name w:val="1名"/>
    <w:basedOn w:val="852"/>
    <w:uiPriority w:val="0"/>
    <w:qFormat/>
    <w:pPr>
      <w:numPr>
        <w:ilvl w:val="0"/>
        <w:numId w:val="5"/>
      </w:numPr>
      <w:spacing w:before="120"/>
    </w:pPr>
    <w:rPr>
      <w:rFonts w:ascii="宋体"/>
      <w:sz w:val="28"/>
      <w:szCs w:val="20"/>
    </w:rPr>
  </w:style>
  <w:style w:type="paragraph" w:styleId="1191" w:customStyle="1">
    <w:name w:val="font9"/>
    <w:basedOn w:val="85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2" w:customStyle="1">
    <w:name w:val="Char Char Char1 Char1"/>
    <w:basedOn w:val="852"/>
    <w:uiPriority w:val="0"/>
    <w:qFormat/>
    <w:rPr>
      <w:rFonts w:ascii="Tahoma" w:hAnsi="Tahoma"/>
      <w:sz w:val="24"/>
      <w:szCs w:val="20"/>
    </w:rPr>
  </w:style>
  <w:style w:type="paragraph" w:styleId="1193" w:customStyle="1">
    <w:name w:val="Char Char Char Char Char Char Char Char Char Char"/>
    <w:basedOn w:val="852"/>
    <w:uiPriority w:val="0"/>
    <w:qFormat/>
  </w:style>
  <w:style w:type="paragraph" w:styleId="1194" w:customStyle="1">
    <w:name w:val="Char Char1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195" w:customStyle="1">
    <w:name w:val="Char1"/>
    <w:basedOn w:val="852"/>
    <w:uiPriority w:val="0"/>
    <w:qFormat/>
    <w:pPr>
      <w:tabs>
        <w:tab w:val="left" w:pos="360" w:leader="none"/>
      </w:tabs>
    </w:pPr>
    <w:rPr>
      <w:sz w:val="24"/>
    </w:rPr>
  </w:style>
  <w:style w:type="paragraph" w:styleId="1196" w:customStyle="1">
    <w:name w:val="正文列项_字母"/>
    <w:basedOn w:val="85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customStyle="1">
    <w:name w:val="xl28"/>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customStyle="1">
    <w:name w:val="xl47"/>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customStyle="1">
    <w:name w:val="默认段落字体 Para Char Char Char Char"/>
    <w:basedOn w:val="852"/>
    <w:uiPriority w:val="0"/>
    <w:qFormat/>
    <w:rPr>
      <w:rFonts w:ascii="Arial" w:hAnsi="Arial" w:cs="Arial"/>
      <w:szCs w:val="21"/>
    </w:rPr>
  </w:style>
  <w:style w:type="paragraph" w:styleId="1200" w:customStyle="1">
    <w:name w:val="xl48"/>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1" w:customStyle="1">
    <w:name w:val="xl31"/>
    <w:basedOn w:val="8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2" w:customStyle="1">
    <w:name w:val="xl53"/>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Char Char Char"/>
    <w:basedOn w:val="852"/>
    <w:uiPriority w:val="0"/>
    <w:qFormat/>
    <w:rPr>
      <w:rFonts w:ascii="Tahoma" w:hAnsi="Tahoma"/>
      <w:sz w:val="24"/>
      <w:szCs w:val="20"/>
    </w:rPr>
  </w:style>
  <w:style w:type="paragraph" w:styleId="1204" w:customStyle="1">
    <w:name w:val="xl50"/>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customStyle="1">
    <w:name w:val="缺省文本"/>
    <w:basedOn w:val="852"/>
    <w:uiPriority w:val="0"/>
    <w:qFormat/>
    <w:pPr>
      <w:jc w:val="left"/>
    </w:pPr>
    <w:rPr>
      <w:sz w:val="24"/>
    </w:rPr>
  </w:style>
  <w:style w:type="paragraph" w:styleId="1206" w:customStyle="1">
    <w:name w:val="Char Char Char1"/>
    <w:basedOn w:val="852"/>
    <w:uiPriority w:val="0"/>
    <w:qFormat/>
    <w:rPr>
      <w:rFonts w:ascii="Tahoma" w:hAnsi="Tahoma"/>
      <w:sz w:val="24"/>
      <w:szCs w:val="20"/>
    </w:rPr>
  </w:style>
  <w:style w:type="paragraph" w:styleId="1207" w:customStyle="1">
    <w:name w:val="Char Char Char Char Char Char Char1"/>
    <w:basedOn w:val="852"/>
    <w:uiPriority w:val="0"/>
    <w:qFormat/>
    <w:pPr>
      <w:ind w:firstLine="200"/>
      <w:spacing w:line="360" w:lineRule="auto"/>
    </w:pPr>
    <w:rPr>
      <w:rFonts w:eastAsia="仿宋_GB2312"/>
      <w:sz w:val="24"/>
    </w:rPr>
  </w:style>
  <w:style w:type="paragraph" w:styleId="1208" w:customStyle="1">
    <w:name w:val="xl51"/>
    <w:basedOn w:val="8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customStyle="1">
    <w:name w:val="样式2"/>
    <w:basedOn w:val="1099"/>
    <w:uiPriority w:val="0"/>
    <w:qFormat/>
    <w:pPr>
      <w:jc w:val="center"/>
      <w:spacing w:line="360" w:lineRule="auto"/>
    </w:pPr>
    <w:rPr>
      <w:sz w:val="24"/>
    </w:rPr>
  </w:style>
  <w:style w:type="paragraph" w:styleId="1210" w:customStyle="1">
    <w:name w:val="xl24"/>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customStyle="1">
    <w:name w:val="xl2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customStyle="1">
    <w:name w:val="正文 + 楷体_GB2312"/>
    <w:basedOn w:val="852"/>
    <w:uiPriority w:val="0"/>
    <w:qFormat/>
    <w:pPr>
      <w:jc w:val="left"/>
      <w:widowControl/>
    </w:pPr>
    <w:rPr>
      <w:rFonts w:ascii="楷体_GB2312" w:eastAsia="楷体_GB2312" w:cs="Arial"/>
      <w:sz w:val="24"/>
    </w:rPr>
  </w:style>
  <w:style w:type="paragraph" w:styleId="1213" w:customStyle="1">
    <w:name w:val="xl34"/>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4" w:customStyle="1">
    <w:name w:val="1 Char Char Char Char"/>
    <w:basedOn w:val="852"/>
    <w:uiPriority w:val="0"/>
    <w:qFormat/>
    <w:rPr>
      <w:rFonts w:ascii="Tahoma" w:hAnsi="Tahoma"/>
      <w:sz w:val="24"/>
      <w:szCs w:val="20"/>
    </w:rPr>
  </w:style>
  <w:style w:type="paragraph" w:styleId="121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16" w:customStyle="1">
    <w:name w:val="列出段落1"/>
    <w:basedOn w:val="852"/>
    <w:uiPriority w:val="0"/>
    <w:qFormat/>
    <w:pPr>
      <w:ind w:firstLine="420"/>
    </w:pPr>
    <w:rPr>
      <w:rFonts w:ascii="Calibri" w:hAnsi="Calibri"/>
      <w:szCs w:val="22"/>
    </w:rPr>
  </w:style>
  <w:style w:type="paragraph" w:styleId="1217" w:customStyle="1">
    <w:name w:val="default"/>
    <w:basedOn w:val="852"/>
    <w:uiPriority w:val="0"/>
    <w:qFormat/>
    <w:pPr>
      <w:jc w:val="left"/>
      <w:spacing w:before="100" w:beforeAutospacing="1" w:after="100" w:afterAutospacing="1"/>
      <w:widowControl/>
    </w:pPr>
    <w:rPr>
      <w:rFonts w:ascii="宋体" w:hAnsi="宋体" w:cs="宋体"/>
      <w:sz w:val="24"/>
    </w:rPr>
  </w:style>
  <w:style w:type="paragraph" w:styleId="1218" w:customStyle="1">
    <w:name w:val="字元 字元1"/>
    <w:basedOn w:val="852"/>
    <w:uiPriority w:val="0"/>
    <w:qFormat/>
    <w:rPr>
      <w:rFonts w:ascii="Tahoma" w:hAnsi="Tahoma"/>
      <w:sz w:val="24"/>
      <w:szCs w:val="20"/>
    </w:rPr>
  </w:style>
  <w:style w:type="paragraph" w:styleId="1219" w:customStyle="1">
    <w:name w:val="_Style 160"/>
    <w:uiPriority w:val="0"/>
    <w:qFormat/>
    <w:rPr>
      <w:rFonts w:hint="default" w:ascii="Times New Roman" w:hAnsi="Times New Roman" w:eastAsia="宋体" w:cs="Times New Roman"/>
      <w:sz w:val="21"/>
      <w:szCs w:val="24"/>
      <w:lang w:val="en-US" w:eastAsia="zh-CN" w:bidi="ar-SA"/>
    </w:rPr>
  </w:style>
  <w:style w:type="paragraph" w:styleId="1220" w:customStyle="1">
    <w:name w:val="项目编号3"/>
    <w:basedOn w:val="1180"/>
    <w:uiPriority w:val="0"/>
    <w:qFormat/>
    <w:pPr>
      <w:numPr>
        <w:ilvl w:val="0"/>
        <w:numId w:val="6"/>
      </w:numPr>
    </w:pPr>
  </w:style>
  <w:style w:type="paragraph" w:styleId="1221" w:customStyle="1">
    <w:name w:val="Char21"/>
    <w:basedOn w:val="852"/>
    <w:uiPriority w:val="0"/>
    <w:qFormat/>
    <w:rPr>
      <w:rFonts w:ascii="Tahoma" w:hAnsi="Tahoma"/>
      <w:sz w:val="24"/>
      <w:szCs w:val="20"/>
    </w:rPr>
  </w:style>
  <w:style w:type="paragraph" w:styleId="1222" w:customStyle="1">
    <w:name w:val="表格文字"/>
    <w:basedOn w:val="1070"/>
    <w:uiPriority w:val="0"/>
    <w:qFormat/>
    <w:pPr>
      <w:ind w:firstLine="0"/>
      <w:spacing w:before="20" w:after="20" w:line="240" w:lineRule="auto"/>
    </w:pPr>
    <w:rPr>
      <w:rFonts w:ascii="Century Gothic" w:hAnsi="Century Gothic"/>
      <w:sz w:val="20"/>
      <w:szCs w:val="20"/>
    </w:rPr>
  </w:style>
  <w:style w:type="paragraph" w:styleId="1223" w:customStyle="1">
    <w:name w:val="Char Char Char Char Char Char Char Char Char Char1"/>
    <w:basedOn w:val="852"/>
    <w:uiPriority w:val="0"/>
    <w:qFormat/>
    <w:rPr>
      <w:rFonts w:ascii="宋体" w:hAnsi="宋体" w:cs="Courier New"/>
      <w:sz w:val="32"/>
      <w:szCs w:val="32"/>
    </w:rPr>
  </w:style>
  <w:style w:type="paragraph" w:styleId="1224" w:customStyle="1">
    <w:name w:val="正文文本样式 加粗"/>
    <w:basedOn w:val="1180"/>
    <w:uiPriority w:val="0"/>
    <w:qFormat/>
    <w:rPr>
      <w:b/>
    </w:rPr>
  </w:style>
  <w:style w:type="paragraph" w:styleId="1225" w:customStyle="1">
    <w:name w:val="Char2 Char Char Char Char Char Char"/>
    <w:basedOn w:val="852"/>
    <w:uiPriority w:val="0"/>
    <w:qFormat/>
    <w:pPr>
      <w:jc w:val="center"/>
      <w:spacing w:line="400" w:lineRule="exact"/>
      <w:widowControl/>
    </w:pPr>
  </w:style>
  <w:style w:type="paragraph" w:styleId="1226" w:customStyle="1">
    <w:name w:val="Char Char4"/>
    <w:basedOn w:val="852"/>
    <w:uiPriority w:val="0"/>
    <w:qFormat/>
    <w:pPr>
      <w:jc w:val="center"/>
      <w:spacing w:line="400" w:lineRule="exact"/>
      <w:widowControl/>
    </w:pPr>
  </w:style>
  <w:style w:type="paragraph" w:styleId="1227" w:customStyle="1">
    <w:name w:val="Char3 Char Char Char1"/>
    <w:basedOn w:val="852"/>
    <w:uiPriority w:val="0"/>
    <w:qFormat/>
    <w:rPr>
      <w:rFonts w:ascii="Tahoma" w:hAnsi="Tahoma"/>
      <w:sz w:val="24"/>
      <w:szCs w:val="20"/>
    </w:rPr>
  </w:style>
  <w:style w:type="paragraph" w:styleId="122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22222222222222"/>
    <w:basedOn w:val="852"/>
    <w:uiPriority w:val="0"/>
    <w:qFormat/>
    <w:pPr>
      <w:ind w:firstLine="480"/>
      <w:jc w:val="left"/>
      <w:spacing w:line="360" w:lineRule="auto"/>
      <w:widowControl/>
    </w:pPr>
    <w:rPr>
      <w:color w:val="ff0000"/>
      <w:sz w:val="24"/>
      <w:szCs w:val="20"/>
    </w:rPr>
  </w:style>
  <w:style w:type="character" w:styleId="1230" w:customStyle="1">
    <w:name w:val="中等深浅网格 1 - 强调文字颜色 2 Char"/>
    <w:link w:val="1231"/>
    <w:uiPriority w:val="0"/>
    <w:qFormat/>
    <w:rPr>
      <w:sz w:val="21"/>
      <w:szCs w:val="24"/>
      <w:lang w:val="zh-CN" w:eastAsia="zh-CN" w:bidi="ar-SA"/>
    </w:rPr>
  </w:style>
  <w:style w:type="paragraph" w:styleId="1231" w:customStyle="1">
    <w:name w:val="1"/>
    <w:link w:val="1230"/>
    <w:uiPriority w:val="0"/>
    <w:qFormat/>
    <w:rPr>
      <w:rFonts w:hint="default" w:ascii="Times New Roman" w:hAnsi="Times New Roman" w:eastAsia="宋体" w:cs="Times New Roman"/>
      <w:sz w:val="21"/>
      <w:szCs w:val="24"/>
      <w:lang w:val="zh-CN" w:eastAsia="zh-CN" w:bidi="ar-SA"/>
    </w:rPr>
  </w:style>
  <w:style w:type="paragraph" w:styleId="1232" w:customStyle="1">
    <w:name w:val="图文"/>
    <w:basedOn w:val="852"/>
    <w:uiPriority w:val="0"/>
    <w:qFormat/>
    <w:pPr>
      <w:spacing w:after="50" w:line="360" w:lineRule="auto"/>
    </w:pPr>
    <w:rPr>
      <w:sz w:val="24"/>
    </w:rPr>
  </w:style>
  <w:style w:type="paragraph" w:styleId="1233" w:customStyle="1">
    <w:name w:val="xl23"/>
    <w:basedOn w:val="852"/>
    <w:uiPriority w:val="0"/>
    <w:qFormat/>
    <w:pPr>
      <w:spacing w:before="100" w:beforeAutospacing="1" w:after="100" w:afterAutospacing="1" w:line="360" w:lineRule="auto"/>
      <w:widowControl/>
    </w:pPr>
    <w:rPr>
      <w:sz w:val="24"/>
      <w:szCs w:val="20"/>
    </w:rPr>
  </w:style>
  <w:style w:type="paragraph" w:styleId="1234" w:customStyle="1">
    <w:name w:val="正文表格"/>
    <w:basedOn w:val="852"/>
    <w:link w:val="1235"/>
    <w:uiPriority w:val="0"/>
    <w:qFormat/>
    <w:pPr>
      <w:jc w:val="left"/>
    </w:pPr>
    <w:rPr>
      <w:rFonts w:ascii="宋体" w:hAnsi="宋体"/>
      <w:color w:val="000000"/>
      <w:szCs w:val="21"/>
    </w:rPr>
  </w:style>
  <w:style w:type="character" w:styleId="1235" w:customStyle="1">
    <w:name w:val="正文表格 Char"/>
    <w:link w:val="1234"/>
    <w:uiPriority w:val="0"/>
    <w:qFormat/>
    <w:rPr>
      <w:rFonts w:ascii="宋体" w:hAnsi="宋体"/>
      <w:color w:val="000000"/>
      <w:sz w:val="21"/>
      <w:szCs w:val="21"/>
    </w:rPr>
  </w:style>
  <w:style w:type="paragraph" w:styleId="1236" w:customStyle="1">
    <w:name w:val="正文重点"/>
    <w:basedOn w:val="852"/>
    <w:link w:val="1237"/>
    <w:uiPriority w:val="0"/>
    <w:qFormat/>
    <w:pPr>
      <w:ind w:firstLine="482"/>
      <w:jc w:val="left"/>
      <w:spacing w:line="360" w:lineRule="auto"/>
    </w:pPr>
    <w:rPr>
      <w:b/>
      <w:sz w:val="24"/>
      <w:szCs w:val="20"/>
    </w:rPr>
  </w:style>
  <w:style w:type="character" w:styleId="1237" w:customStyle="1">
    <w:name w:val="正文重点 Char"/>
    <w:link w:val="1236"/>
    <w:uiPriority w:val="0"/>
    <w:qFormat/>
    <w:rPr>
      <w:b/>
      <w:sz w:val="24"/>
    </w:rPr>
  </w:style>
  <w:style w:type="paragraph" w:styleId="1238" w:customStyle="1">
    <w:name w:val="标题1-附件"/>
    <w:basedOn w:val="1038"/>
    <w:uiPriority w:val="0"/>
    <w:qFormat/>
    <w:pPr>
      <w:jc w:val="left"/>
    </w:pPr>
    <w:rPr>
      <w:sz w:val="24"/>
      <w:szCs w:val="24"/>
    </w:rPr>
  </w:style>
  <w:style w:type="paragraph" w:styleId="1239" w:customStyle="1">
    <w:name w:val="正文小标题"/>
    <w:basedOn w:val="852"/>
    <w:next w:val="1040"/>
    <w:link w:val="1240"/>
    <w:uiPriority w:val="0"/>
    <w:qFormat/>
    <w:pPr>
      <w:ind w:firstLine="482"/>
      <w:jc w:val="left"/>
      <w:spacing w:before="312" w:after="312"/>
    </w:pPr>
    <w:rPr>
      <w:rFonts w:ascii="宋体" w:hAnsi="宋体"/>
      <w:b/>
      <w:i/>
      <w:color w:val="ff0000"/>
      <w:sz w:val="24"/>
      <w:szCs w:val="20"/>
    </w:rPr>
  </w:style>
  <w:style w:type="character" w:styleId="1240" w:customStyle="1">
    <w:name w:val="正文小标题 Char"/>
    <w:link w:val="1239"/>
    <w:uiPriority w:val="0"/>
    <w:qFormat/>
    <w:rPr>
      <w:rFonts w:ascii="宋体" w:hAnsi="宋体"/>
      <w:b/>
      <w:i/>
      <w:color w:val="ff0000"/>
      <w:sz w:val="24"/>
    </w:rPr>
  </w:style>
  <w:style w:type="paragraph" w:styleId="1241" w:customStyle="1">
    <w:name w:val="正文大标题"/>
    <w:basedOn w:val="1239"/>
    <w:next w:val="1040"/>
    <w:link w:val="1242"/>
    <w:uiPriority w:val="0"/>
    <w:qFormat/>
    <w:pPr>
      <w:jc w:val="center"/>
    </w:pPr>
    <w:rPr>
      <w:i w:val="0"/>
      <w:color w:val="000000"/>
      <w:sz w:val="28"/>
      <w:szCs w:val="21"/>
    </w:rPr>
  </w:style>
  <w:style w:type="character" w:styleId="1242" w:customStyle="1">
    <w:name w:val="正文大标题 Char"/>
    <w:link w:val="1241"/>
    <w:uiPriority w:val="0"/>
    <w:qFormat/>
    <w:rPr>
      <w:rFonts w:ascii="宋体" w:hAnsi="宋体"/>
      <w:b/>
      <w:color w:val="000000"/>
      <w:sz w:val="28"/>
      <w:szCs w:val="21"/>
    </w:rPr>
  </w:style>
  <w:style w:type="paragraph" w:styleId="1243" w:customStyle="1">
    <w:name w:val="注释"/>
    <w:basedOn w:val="852"/>
    <w:link w:val="1244"/>
    <w:uiPriority w:val="0"/>
    <w:qFormat/>
    <w:pPr>
      <w:ind w:left="420" w:hanging="420"/>
      <w:jc w:val="left"/>
    </w:pPr>
    <w:rPr>
      <w:rFonts w:ascii="宋体" w:hAnsi="宋体"/>
      <w:szCs w:val="21"/>
    </w:rPr>
  </w:style>
  <w:style w:type="character" w:styleId="1244" w:customStyle="1">
    <w:name w:val="注释 Char"/>
    <w:link w:val="1243"/>
    <w:uiPriority w:val="0"/>
    <w:qFormat/>
    <w:rPr>
      <w:rFonts w:ascii="宋体" w:hAnsi="宋体"/>
      <w:sz w:val="21"/>
      <w:szCs w:val="21"/>
    </w:rPr>
  </w:style>
  <w:style w:type="paragraph" w:styleId="1245" w:customStyle="1">
    <w:name w:val="正文须知-1级"/>
    <w:basedOn w:val="852"/>
    <w:next w:val="852"/>
    <w:uiPriority w:val="0"/>
    <w:qFormat/>
    <w:pPr>
      <w:numPr>
        <w:ilvl w:val="0"/>
        <w:numId w:val="7"/>
      </w:numPr>
      <w:spacing w:line="300" w:lineRule="auto"/>
    </w:pPr>
    <w:rPr>
      <w:rFonts w:ascii="宋体" w:hAnsi="Calibri"/>
      <w:sz w:val="24"/>
      <w:szCs w:val="21"/>
    </w:rPr>
  </w:style>
  <w:style w:type="paragraph" w:styleId="1246" w:customStyle="1">
    <w:name w:val="正文须知-2级"/>
    <w:basedOn w:val="852"/>
    <w:uiPriority w:val="0"/>
    <w:qFormat/>
    <w:pPr>
      <w:numPr>
        <w:ilvl w:val="1"/>
        <w:numId w:val="7"/>
      </w:numPr>
      <w:spacing w:line="300" w:lineRule="auto"/>
    </w:pPr>
    <w:rPr>
      <w:rFonts w:ascii="宋体" w:hAnsi="Calibri"/>
      <w:sz w:val="24"/>
      <w:szCs w:val="21"/>
    </w:rPr>
  </w:style>
  <w:style w:type="paragraph" w:styleId="1247" w:customStyle="1">
    <w:name w:val="正文须知-3级"/>
    <w:basedOn w:val="852"/>
    <w:uiPriority w:val="0"/>
    <w:qFormat/>
    <w:pPr>
      <w:numPr>
        <w:ilvl w:val="2"/>
        <w:numId w:val="7"/>
      </w:numPr>
      <w:ind w:hanging="355"/>
      <w:spacing w:line="300" w:lineRule="auto"/>
    </w:pPr>
    <w:rPr>
      <w:rFonts w:ascii="宋体" w:hAnsi="Calibri"/>
      <w:sz w:val="24"/>
      <w:szCs w:val="21"/>
    </w:rPr>
  </w:style>
  <w:style w:type="character" w:styleId="1248" w:customStyle="1">
    <w:name w:val="纯文本 字符"/>
    <w:link w:val="852"/>
    <w:uiPriority w:val="99"/>
    <w:qFormat/>
    <w:rPr>
      <w:rFonts w:ascii="宋体" w:hAnsi="Courier New" w:eastAsia="宋体" w:cs="Times New Roman"/>
      <w:sz w:val="21"/>
      <w:szCs w:val="21"/>
      <w:lang w:val="en-US" w:eastAsia="zh-CN" w:bidi="ar-SA"/>
    </w:rPr>
  </w:style>
  <w:style w:type="paragraph" w:styleId="1249" w:customStyle="1">
    <w:name w:val="表格1"/>
    <w:basedOn w:val="852"/>
    <w:uiPriority w:val="0"/>
    <w:qFormat/>
    <w:pPr>
      <w:ind w:firstLine="480"/>
      <w:jc w:val="center"/>
    </w:pPr>
    <w:rPr>
      <w:sz w:val="24"/>
      <w:szCs w:val="20"/>
    </w:rPr>
  </w:style>
  <w:style w:type="character" w:styleId="1250" w:customStyle="1">
    <w:name w:val="纯文本 字符1"/>
    <w:link w:val="852"/>
    <w:uiPriority w:val="0"/>
    <w:qFormat/>
    <w:rPr>
      <w:rFonts w:ascii="宋体" w:hAnsi="Courier New"/>
    </w:rPr>
  </w:style>
  <w:style w:type="character" w:styleId="1251" w:customStyle="1">
    <w:name w:val="bjh-p"/>
    <w:link w:val="852"/>
    <w:uiPriority w:val="0"/>
    <w:qFormat/>
  </w:style>
  <w:style w:type="paragraph" w:styleId="1252" w:customStyle="1">
    <w:name w:val="无标题条"/>
    <w:next w:val="852"/>
    <w:uiPriority w:val="0"/>
    <w:qFormat/>
    <w:pPr>
      <w:jc w:val="both"/>
    </w:pPr>
    <w:rPr>
      <w:rFonts w:hint="default" w:ascii="Times New Roman" w:hAnsi="Times New Roman" w:eastAsia="宋体" w:cs="Times New Roman"/>
      <w:sz w:val="21"/>
      <w:lang w:val="en-US" w:eastAsia="zh-CN" w:bidi="ar-SA"/>
    </w:rPr>
  </w:style>
  <w:style w:type="character" w:styleId="1253" w:customStyle="1">
    <w:name w:val="正文格式 Char"/>
    <w:link w:val="1254"/>
    <w:uiPriority w:val="0"/>
    <w:qFormat/>
    <w:rPr>
      <w:rFonts w:ascii="宋体" w:hAnsi="宋体"/>
      <w:sz w:val="24"/>
      <w:szCs w:val="24"/>
      <w:lang w:val="en-GB"/>
    </w:rPr>
  </w:style>
  <w:style w:type="paragraph" w:styleId="1254" w:customStyle="1">
    <w:name w:val="正文格式"/>
    <w:basedOn w:val="852"/>
    <w:link w:val="1253"/>
    <w:uiPriority w:val="0"/>
    <w:qFormat/>
    <w:pPr>
      <w:ind w:firstLine="480"/>
      <w:spacing w:line="360" w:lineRule="auto"/>
    </w:pPr>
    <w:rPr>
      <w:rFonts w:ascii="宋体" w:hAnsi="宋体"/>
      <w:sz w:val="24"/>
      <w:lang w:val="en-GB"/>
    </w:rPr>
  </w:style>
  <w:style w:type="character" w:styleId="1255" w:customStyle="1">
    <w:name w:val="标题 3 Char"/>
    <w:link w:val="852"/>
    <w:uiPriority w:val="0"/>
    <w:qFormat/>
    <w:rPr>
      <w:rFonts w:ascii="宋体" w:eastAsia="宋体"/>
      <w:b/>
      <w:sz w:val="24"/>
      <w:u w:val="single"/>
      <w:lang w:val="en-US" w:eastAsia="zh-CN" w:bidi="ar-SA"/>
    </w:rPr>
  </w:style>
  <w:style w:type="character" w:styleId="1256" w:customStyle="1">
    <w:name w:val="正文缩进 Char"/>
    <w:link w:val="852"/>
    <w:uiPriority w:val="0"/>
    <w:qFormat/>
    <w:rPr>
      <w:rFonts w:ascii="宋体" w:eastAsia="宋体"/>
      <w:sz w:val="24"/>
      <w:szCs w:val="24"/>
      <w:lang w:val="en-US" w:eastAsia="zh-CN" w:bidi="ar-SA"/>
    </w:rPr>
  </w:style>
  <w:style w:type="character" w:styleId="1257" w:customStyle="1">
    <w:name w:val="Char Char111"/>
    <w:link w:val="852"/>
    <w:uiPriority w:val="0"/>
    <w:qFormat/>
    <w:rPr>
      <w:rFonts w:ascii="宋体" w:eastAsia="宋体"/>
      <w:b/>
      <w:sz w:val="24"/>
      <w:u w:val="single"/>
      <w:lang w:val="en-US" w:eastAsia="zh-CN" w:bidi="ar-SA"/>
    </w:rPr>
  </w:style>
  <w:style w:type="character" w:styleId="1258" w:customStyle="1">
    <w:name w:val="正文文本缩进 Char"/>
    <w:link w:val="852"/>
    <w:uiPriority w:val="0"/>
    <w:qFormat/>
    <w:rPr>
      <w:rFonts w:eastAsia="宋体"/>
      <w:sz w:val="24"/>
      <w:szCs w:val="24"/>
      <w:lang w:val="en-US" w:eastAsia="zh-CN" w:bidi="ar-SA"/>
    </w:rPr>
  </w:style>
  <w:style w:type="character" w:styleId="1259" w:customStyle="1">
    <w:name w:val="列出段落 Char"/>
    <w:link w:val="852"/>
    <w:uiPriority w:val="0"/>
    <w:qFormat/>
    <w:rPr>
      <w:rFonts w:ascii="Calibri" w:hAnsi="Calibri" w:eastAsia="宋体"/>
      <w:sz w:val="21"/>
      <w:szCs w:val="22"/>
      <w:lang w:val="en-US" w:eastAsia="zh-CN" w:bidi="ar-SA"/>
    </w:rPr>
  </w:style>
  <w:style w:type="character" w:styleId="1260" w:customStyle="1">
    <w:name w:val="页眉 Char"/>
    <w:link w:val="852"/>
    <w:uiPriority w:val="0"/>
    <w:qFormat/>
    <w:rPr>
      <w:rFonts w:eastAsia="宋体"/>
      <w:sz w:val="18"/>
      <w:szCs w:val="18"/>
      <w:lang w:val="en-US" w:eastAsia="zh-CN" w:bidi="ar-SA"/>
    </w:rPr>
  </w:style>
  <w:style w:type="character" w:styleId="1261" w:customStyle="1">
    <w:name w:val="标题 2 Char"/>
    <w:link w:val="852"/>
    <w:uiPriority w:val="0"/>
    <w:qFormat/>
    <w:rPr>
      <w:rFonts w:ascii="Arial" w:hAnsi="Arial" w:eastAsia="黑体"/>
      <w:b/>
      <w:sz w:val="30"/>
      <w:lang w:val="en-US" w:eastAsia="zh-CN" w:bidi="ar-SA"/>
    </w:rPr>
  </w:style>
  <w:style w:type="paragraph" w:styleId="1262" w:customStyle="1">
    <w:name w:val="字元 字元2"/>
    <w:basedOn w:val="852"/>
    <w:uiPriority w:val="0"/>
    <w:qFormat/>
    <w:rPr>
      <w:rFonts w:ascii="Tahoma" w:hAnsi="Tahoma"/>
      <w:sz w:val="24"/>
      <w:szCs w:val="20"/>
    </w:rPr>
  </w:style>
  <w:style w:type="paragraph" w:styleId="1263" w:customStyle="1">
    <w:name w:val="Char3 Char Char Char2"/>
    <w:basedOn w:val="852"/>
    <w:uiPriority w:val="0"/>
    <w:qFormat/>
    <w:rPr>
      <w:rFonts w:ascii="Tahoma" w:hAnsi="Tahoma"/>
      <w:sz w:val="24"/>
      <w:szCs w:val="20"/>
    </w:rPr>
  </w:style>
  <w:style w:type="paragraph" w:styleId="1264" w:customStyle="1">
    <w:name w:val="正文文本缩进2"/>
    <w:basedOn w:val="852"/>
    <w:uiPriority w:val="0"/>
    <w:qFormat/>
    <w:pPr>
      <w:ind w:firstLine="480"/>
      <w:spacing w:line="480" w:lineRule="exact"/>
    </w:pPr>
    <w:rPr>
      <w:rFonts w:ascii="宋体" w:hAnsi="宋体"/>
      <w:sz w:val="24"/>
      <w:lang w:val="zh-CN" w:eastAsia="zh-CN"/>
    </w:rPr>
  </w:style>
  <w:style w:type="paragraph" w:styleId="1265" w:customStyle="1">
    <w:name w:val="Char3"/>
    <w:basedOn w:val="852"/>
    <w:uiPriority w:val="0"/>
    <w:qFormat/>
    <w:pPr>
      <w:tabs>
        <w:tab w:val="left" w:pos="360" w:leader="none"/>
      </w:tabs>
    </w:pPr>
    <w:rPr>
      <w:sz w:val="24"/>
    </w:rPr>
  </w:style>
  <w:style w:type="paragraph" w:styleId="1266" w:customStyle="1">
    <w:name w:val="Char Char Char Char Char Char Char Char Char Char Char Char Char Char Char Char1"/>
    <w:basedOn w:val="852"/>
    <w:uiPriority w:val="0"/>
    <w:qFormat/>
    <w:pPr>
      <w:jc w:val="center"/>
      <w:spacing w:after="160" w:line="240" w:lineRule="exact"/>
      <w:widowControl/>
    </w:pPr>
    <w:rPr>
      <w:rFonts w:ascii="宋体" w:hAnsi="宋体"/>
      <w:b/>
      <w:sz w:val="30"/>
      <w:szCs w:val="30"/>
      <w:lang w:eastAsia="en-US"/>
    </w:rPr>
  </w:style>
  <w:style w:type="paragraph" w:styleId="1267" w:customStyle="1">
    <w:name w:val="Char Char1 Char Char Char Char Char Char1"/>
    <w:basedOn w:val="852"/>
    <w:uiPriority w:val="0"/>
    <w:qFormat/>
    <w:pPr>
      <w:jc w:val="left"/>
      <w:spacing w:after="160" w:line="240" w:lineRule="exact"/>
      <w:widowControl/>
    </w:pPr>
    <w:rPr>
      <w:rFonts w:ascii="Verdana" w:hAnsi="Verdana" w:eastAsia="仿宋_GB2312"/>
      <w:sz w:val="24"/>
      <w:szCs w:val="20"/>
      <w:lang w:eastAsia="en-US"/>
    </w:rPr>
  </w:style>
  <w:style w:type="paragraph" w:styleId="1268" w:customStyle="1">
    <w:name w:val="列出段落2"/>
    <w:basedOn w:val="852"/>
    <w:uiPriority w:val="0"/>
    <w:qFormat/>
    <w:pPr>
      <w:ind w:firstLine="420"/>
    </w:pPr>
    <w:rPr>
      <w:rFonts w:ascii="Calibri" w:hAnsi="Calibri"/>
      <w:szCs w:val="22"/>
    </w:rPr>
  </w:style>
  <w:style w:type="paragraph" w:styleId="1269" w:customStyle="1">
    <w:name w:val="Char Char Char1 Char2"/>
    <w:basedOn w:val="852"/>
    <w:uiPriority w:val="0"/>
    <w:qFormat/>
    <w:rPr>
      <w:rFonts w:ascii="Tahoma" w:hAnsi="Tahoma"/>
      <w:sz w:val="24"/>
      <w:szCs w:val="20"/>
    </w:rPr>
  </w:style>
  <w:style w:type="paragraph" w:styleId="1270" w:customStyle="1">
    <w:name w:val="Char Char Char2"/>
    <w:basedOn w:val="852"/>
    <w:uiPriority w:val="0"/>
    <w:qFormat/>
    <w:rPr>
      <w:rFonts w:ascii="Tahoma" w:hAnsi="Tahoma"/>
      <w:sz w:val="24"/>
      <w:szCs w:val="20"/>
    </w:rPr>
  </w:style>
  <w:style w:type="paragraph" w:styleId="1271" w:customStyle="1">
    <w:name w:val="Char Char Char Char Char Char Char2"/>
    <w:basedOn w:val="852"/>
    <w:uiPriority w:val="0"/>
    <w:qFormat/>
    <w:pPr>
      <w:ind w:firstLine="200"/>
      <w:spacing w:line="360" w:lineRule="auto"/>
    </w:pPr>
    <w:rPr>
      <w:rFonts w:eastAsia="仿宋_GB2312"/>
      <w:sz w:val="24"/>
    </w:rPr>
  </w:style>
  <w:style w:type="paragraph" w:styleId="1272" w:customStyle="1">
    <w:name w:val="正文缩进2"/>
    <w:basedOn w:val="852"/>
    <w:uiPriority w:val="0"/>
    <w:qFormat/>
    <w:pPr>
      <w:ind w:firstLine="567"/>
      <w:spacing w:line="480" w:lineRule="exact"/>
      <w:widowControl/>
    </w:pPr>
    <w:rPr>
      <w:rFonts w:ascii="宋体"/>
      <w:color w:val="000000"/>
      <w:sz w:val="28"/>
      <w:szCs w:val="20"/>
      <w:lang w:val="zh-CN" w:eastAsia="zh-CN"/>
    </w:rPr>
  </w:style>
  <w:style w:type="paragraph" w:styleId="1273" w:customStyle="1">
    <w:name w:val="Revision"/>
    <w:uiPriority w:val="0"/>
    <w:qFormat/>
    <w:rPr>
      <w:rFonts w:hint="default" w:ascii="Times New Roman" w:hAnsi="Times New Roman" w:eastAsia="宋体" w:cs="Times New Roman"/>
      <w:sz w:val="21"/>
      <w:szCs w:val="24"/>
      <w:lang w:val="en-US" w:eastAsia="zh-CN" w:bidi="ar-SA"/>
    </w:rPr>
  </w:style>
  <w:style w:type="paragraph" w:styleId="1274" w:customStyle="1">
    <w:name w:val="Char22"/>
    <w:basedOn w:val="852"/>
    <w:uiPriority w:val="0"/>
    <w:qFormat/>
    <w:rPr>
      <w:rFonts w:ascii="Tahoma" w:hAnsi="Tahoma"/>
      <w:sz w:val="24"/>
      <w:szCs w:val="20"/>
    </w:rPr>
  </w:style>
  <w:style w:type="paragraph" w:styleId="1275" w:customStyle="1">
    <w:name w:val="Char Char Char Char Char Char Char Char Char Char2"/>
    <w:basedOn w:val="852"/>
    <w:uiPriority w:val="0"/>
    <w:qFormat/>
    <w:rPr>
      <w:rFonts w:ascii="宋体" w:hAnsi="宋体" w:cs="Courier New"/>
      <w:sz w:val="32"/>
      <w:szCs w:val="32"/>
    </w:rPr>
  </w:style>
  <w:style w:type="paragraph" w:styleId="1276" w:customStyle="1">
    <w:name w:val="Char2 Char Char Char Char Char Char1"/>
    <w:basedOn w:val="852"/>
    <w:uiPriority w:val="0"/>
    <w:qFormat/>
    <w:pPr>
      <w:jc w:val="center"/>
      <w:spacing w:line="400" w:lineRule="exact"/>
      <w:widowControl/>
    </w:pPr>
  </w:style>
  <w:style w:type="character" w:styleId="1277" w:customStyle="1">
    <w:name w:val="页脚 Char"/>
    <w:link w:val="852"/>
    <w:uiPriority w:val="0"/>
    <w:qFormat/>
    <w:rPr>
      <w:rFonts w:ascii="宋体" w:eastAsia="宋体"/>
      <w:sz w:val="18"/>
      <w:lang w:val="en-US" w:eastAsia="zh-CN" w:bidi="ar-SA"/>
    </w:rPr>
  </w:style>
  <w:style w:type="paragraph" w:styleId="1278" w:customStyle="1">
    <w:name w:val="Char Char41"/>
    <w:basedOn w:val="852"/>
    <w:uiPriority w:val="0"/>
    <w:qFormat/>
    <w:pPr>
      <w:jc w:val="center"/>
      <w:spacing w:line="400" w:lineRule="exact"/>
      <w:widowControl/>
    </w:pPr>
  </w:style>
  <w:style w:type="character" w:styleId="1279" w:customStyle="1">
    <w:name w:val="批注文字 Char"/>
    <w:link w:val="852"/>
    <w:uiPriority w:val="99"/>
    <w:qFormat/>
    <w:rPr>
      <w:sz w:val="21"/>
      <w:szCs w:val="24"/>
    </w:rPr>
  </w:style>
  <w:style w:type="character" w:styleId="1280" w:customStyle="1">
    <w:name w:val="标题 Char"/>
    <w:link w:val="852"/>
    <w:uiPriority w:val="0"/>
    <w:qFormat/>
    <w:rPr>
      <w:b/>
      <w:sz w:val="32"/>
    </w:rPr>
  </w:style>
  <w:style w:type="paragraph" w:styleId="1281" w:customStyle="1">
    <w:name w:val="图例"/>
    <w:basedOn w:val="852"/>
    <w:uiPriority w:val="0"/>
    <w:qFormat/>
    <w:pPr>
      <w:jc w:val="center"/>
      <w:spacing w:before="120" w:after="120" w:line="360" w:lineRule="auto"/>
    </w:pPr>
    <w:rPr>
      <w:rFonts w:eastAsia="仿宋_GB2312"/>
      <w:b/>
      <w:sz w:val="24"/>
      <w:szCs w:val="20"/>
    </w:rPr>
  </w:style>
  <w:style w:type="table" w:styleId="1282" w:customStyle="1">
    <w:name w:val="Table Normal"/>
    <w:uiPriority w:val="2"/>
    <w:unhideWhenUsed/>
    <w:qFormat/>
    <w:pPr>
      <w:widowControl w:val="off"/>
    </w:pPr>
    <w:rPr>
      <w:rFonts w:ascii="Calibri" w:hAnsi="Calibri"/>
      <w:sz w:val="22"/>
      <w:szCs w:val="22"/>
      <w:lang w:val="en-US" w:eastAsia="en-US" w:bidi="ar-SA"/>
    </w:rPr>
    <w:tblPr/>
  </w:style>
  <w:style w:type="paragraph" w:styleId="1283" w:customStyle="1">
    <w:name w:val="Table Paragraph"/>
    <w:basedOn w:val="852"/>
    <w:uiPriority w:val="1"/>
    <w:qFormat/>
    <w:pPr>
      <w:jc w:val="left"/>
    </w:pPr>
    <w:rPr>
      <w:rFonts w:ascii="宋体" w:hAnsi="宋体" w:cs="宋体"/>
      <w:sz w:val="22"/>
      <w:szCs w:val="22"/>
      <w:lang w:eastAsia="en-US"/>
    </w:rPr>
  </w:style>
  <w:style w:type="paragraph" w:styleId="1284" w:customStyle="1">
    <w:name w:val="成文日期"/>
    <w:basedOn w:val="852"/>
    <w:link w:val="1285"/>
    <w:uiPriority w:val="0"/>
    <w:qFormat/>
    <w:pPr>
      <w:ind w:right="400" w:firstLine="200"/>
      <w:jc w:val="right"/>
      <w:spacing w:line="570" w:lineRule="exact"/>
    </w:pPr>
    <w:rPr>
      <w:rFonts w:ascii="仿宋_GB2312" w:eastAsia="仿宋_GB2312"/>
      <w:sz w:val="32"/>
      <w:szCs w:val="20"/>
    </w:rPr>
  </w:style>
  <w:style w:type="character" w:styleId="1285" w:customStyle="1">
    <w:name w:val="成文日期 Char"/>
    <w:link w:val="1284"/>
    <w:uiPriority w:val="0"/>
    <w:qFormat/>
    <w:rPr>
      <w:rFonts w:ascii="仿宋_GB2312" w:eastAsia="仿宋_GB2312"/>
      <w:sz w:val="32"/>
    </w:rPr>
  </w:style>
  <w:style w:type="paragraph" w:styleId="1286"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87" w:customStyle="1">
    <w:name w:val="正文缩进 字符"/>
    <w:link w:val="852"/>
    <w:uiPriority w:val="99"/>
    <w:qFormat/>
    <w:rPr>
      <w:rFonts w:ascii="宋体" w:hAnsi="Times New Roman" w:eastAsia="宋体" w:cs="Times New Roman"/>
      <w:sz w:val="24"/>
    </w:rPr>
  </w:style>
  <w:style w:type="character" w:styleId="1288" w:customStyle="1">
    <w:name w:val="纯文本 字符2"/>
    <w:link w:val="852"/>
    <w:uiPriority w:val="99"/>
    <w:qFormat/>
    <w:rPr>
      <w:rFonts w:ascii="宋体" w:hAnsi="Courier New"/>
      <w:sz w:val="21"/>
    </w:rPr>
  </w:style>
  <w:style w:type="character" w:styleId="1289" w:customStyle="1">
    <w:name w:val="正文文本 字符"/>
    <w:link w:val="852"/>
    <w:uiPriority w:val="0"/>
    <w:qFormat/>
    <w:rPr>
      <w:rFonts w:ascii="宋体" w:hAnsi="宋体"/>
      <w:sz w:val="24"/>
      <w:szCs w:val="24"/>
    </w:rPr>
  </w:style>
  <w:style w:type="paragraph" w:styleId="1290" w:customStyle="1">
    <w:name w:val="正文11"/>
    <w:uiPriority w:val="99"/>
    <w:qFormat/>
    <w:pPr>
      <w:spacing w:line="240" w:lineRule="atLeast"/>
      <w:widowControl w:val="off"/>
    </w:pPr>
    <w:rPr>
      <w:rFonts w:ascii="宋体" w:hAnsi="Times New Roman" w:eastAsia="宋体" w:cs="宋体"/>
      <w:sz w:val="34"/>
      <w:szCs w:val="34"/>
      <w:lang w:val="en-US" w:eastAsia="zh-CN" w:bidi="ar-SA"/>
    </w:rPr>
  </w:style>
  <w:style w:type="character" w:styleId="1291" w:customStyle="1">
    <w:name w:val="font61"/>
    <w:link w:val="852"/>
    <w:uiPriority w:val="0"/>
    <w:qFormat/>
    <w:rPr>
      <w:rFonts w:ascii="Times New Roman" w:hAnsi="Times New Roman" w:cs="Times New Roman"/>
      <w:color w:val="000000"/>
      <w:sz w:val="28"/>
      <w:szCs w:val="28"/>
      <w:u w:val="none"/>
    </w:rPr>
  </w:style>
  <w:style w:type="character" w:styleId="1292" w:customStyle="1">
    <w:name w:val="font81"/>
    <w:link w:val="852"/>
    <w:uiPriority w:val="0"/>
    <w:qFormat/>
    <w:rPr>
      <w:rFonts w:hint="eastAsia" w:ascii="宋体" w:hAnsi="宋体" w:eastAsia="宋体" w:cs="宋体"/>
      <w:color w:val="000000"/>
      <w:sz w:val="28"/>
      <w:szCs w:val="28"/>
      <w:u w:val="none"/>
    </w:rPr>
  </w:style>
  <w:style w:type="character" w:styleId="1293" w:customStyle="1">
    <w:name w:val="font51"/>
    <w:link w:val="852"/>
    <w:uiPriority w:val="0"/>
    <w:qFormat/>
    <w:rPr>
      <w:rFonts w:ascii="Times New Roman" w:hAnsi="Times New Roman" w:cs="Times New Roman"/>
      <w:b/>
      <w:bCs/>
      <w:color w:val="000000"/>
      <w:sz w:val="21"/>
      <w:szCs w:val="21"/>
      <w:u w:val="none"/>
    </w:rPr>
  </w:style>
  <w:style w:type="paragraph" w:styleId="1294"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陈晨</cp:lastModifiedBy>
  <cp:revision>202</cp:revision>
  <dcterms:created xsi:type="dcterms:W3CDTF">2022-05-30T08:08:00Z</dcterms:created>
  <dcterms:modified xsi:type="dcterms:W3CDTF">2025-12-17T01:43:06Z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C013F62519D34D3FA517D77B12E222AC_13</vt:lpwstr>
  </property>
  <property fmtid="{D5CDD505-2E9C-101B-9397-08002B2CF9AE}" pid="4" name="KSOTemplateDocerSaveRecord">
    <vt:lpwstr>eyJoZGlkIjoiYzMxN2YyMTM5N2VmMDNhMGJmZTc3YmU5OGZiZWNhYmMiLCJ1c2VySWQiOiIxNTc4MjcyODIzIn0=</vt:lpwstr>
  </property>
</Properties>
</file>